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1D15" w:rsidRPr="00305A0D" w:rsidRDefault="0070310E" w:rsidP="00161D15">
      <w:pPr>
        <w:spacing w:line="276" w:lineRule="auto"/>
        <w:jc w:val="both"/>
        <w:rPr>
          <w:rFonts w:ascii="Times New Roman" w:hAnsi="Times New Roman" w:cs="Times New Roman"/>
          <w:b/>
          <w:sz w:val="24"/>
          <w:szCs w:val="24"/>
        </w:rPr>
      </w:pPr>
      <w:r>
        <w:rPr>
          <w:rFonts w:ascii="Times New Roman" w:hAnsi="Times New Roman" w:cs="Times New Roman"/>
          <w:b/>
          <w:sz w:val="24"/>
          <w:szCs w:val="24"/>
        </w:rPr>
        <w:t>Prilog V</w:t>
      </w:r>
      <w:bookmarkStart w:id="0" w:name="_GoBack"/>
      <w:bookmarkEnd w:id="0"/>
      <w:r w:rsidR="00305A0D" w:rsidRPr="00305A0D">
        <w:rPr>
          <w:rFonts w:ascii="Times New Roman" w:hAnsi="Times New Roman" w:cs="Times New Roman"/>
          <w:b/>
          <w:sz w:val="24"/>
          <w:szCs w:val="24"/>
        </w:rPr>
        <w:t xml:space="preserve"> – Uvjeti korištenja sustava </w:t>
      </w:r>
      <w:proofErr w:type="spellStart"/>
      <w:r w:rsidR="00305A0D" w:rsidRPr="00305A0D">
        <w:rPr>
          <w:rFonts w:ascii="Times New Roman" w:hAnsi="Times New Roman" w:cs="Times New Roman"/>
          <w:b/>
          <w:sz w:val="24"/>
          <w:szCs w:val="24"/>
        </w:rPr>
        <w:t>eFondovi</w:t>
      </w:r>
      <w:proofErr w:type="spellEnd"/>
      <w:r w:rsidR="00305A0D" w:rsidRPr="00305A0D">
        <w:rPr>
          <w:rFonts w:ascii="Times New Roman" w:hAnsi="Times New Roman" w:cs="Times New Roman"/>
          <w:b/>
          <w:sz w:val="24"/>
          <w:szCs w:val="24"/>
        </w:rPr>
        <w:t xml:space="preserve"> za korisnike bespovratnih sredstava</w:t>
      </w:r>
    </w:p>
    <w:p w:rsidR="00305A0D" w:rsidRPr="00161D15" w:rsidRDefault="00305A0D" w:rsidP="00161D15">
      <w:pPr>
        <w:spacing w:line="276" w:lineRule="auto"/>
        <w:jc w:val="both"/>
        <w:rPr>
          <w:rFonts w:ascii="Times New Roman" w:hAnsi="Times New Roman" w:cs="Times New Roman"/>
          <w:sz w:val="24"/>
          <w:szCs w:val="24"/>
        </w:rPr>
      </w:pPr>
    </w:p>
    <w:p w:rsidR="00161D15" w:rsidRPr="00161D15" w:rsidRDefault="00161D15" w:rsidP="00161D15">
      <w:pPr>
        <w:spacing w:line="276" w:lineRule="auto"/>
        <w:jc w:val="center"/>
        <w:rPr>
          <w:rFonts w:ascii="Times New Roman" w:hAnsi="Times New Roman" w:cs="Times New Roman"/>
          <w:b/>
          <w:sz w:val="24"/>
          <w:szCs w:val="24"/>
        </w:rPr>
      </w:pPr>
      <w:r w:rsidRPr="00161D15">
        <w:rPr>
          <w:rFonts w:ascii="Times New Roman" w:hAnsi="Times New Roman" w:cs="Times New Roman"/>
          <w:b/>
          <w:sz w:val="24"/>
          <w:szCs w:val="24"/>
        </w:rPr>
        <w:t xml:space="preserve">OPĆI UVJETI KORIŠTENJA SUSTAVA </w:t>
      </w:r>
      <w:proofErr w:type="spellStart"/>
      <w:r w:rsidRPr="00161D15">
        <w:rPr>
          <w:rFonts w:ascii="Times New Roman" w:hAnsi="Times New Roman" w:cs="Times New Roman"/>
          <w:b/>
          <w:sz w:val="24"/>
          <w:szCs w:val="24"/>
        </w:rPr>
        <w:t>eFondovi</w:t>
      </w:r>
      <w:proofErr w:type="spellEnd"/>
    </w:p>
    <w:p w:rsidR="00161D15" w:rsidRPr="00161D15" w:rsidRDefault="00161D15" w:rsidP="00161D15">
      <w:pPr>
        <w:spacing w:line="276" w:lineRule="auto"/>
        <w:jc w:val="both"/>
        <w:rPr>
          <w:rFonts w:ascii="Times New Roman" w:hAnsi="Times New Roman" w:cs="Times New Roman"/>
          <w:sz w:val="24"/>
          <w:szCs w:val="24"/>
        </w:rPr>
      </w:pPr>
    </w:p>
    <w:p w:rsidR="00161D15" w:rsidRPr="00161D15" w:rsidRDefault="00161D15" w:rsidP="00161D15">
      <w:pPr>
        <w:spacing w:line="276" w:lineRule="auto"/>
        <w:jc w:val="center"/>
        <w:rPr>
          <w:rFonts w:ascii="Times New Roman" w:hAnsi="Times New Roman" w:cs="Times New Roman"/>
          <w:b/>
          <w:sz w:val="24"/>
          <w:szCs w:val="24"/>
        </w:rPr>
      </w:pPr>
      <w:r w:rsidRPr="00161D15">
        <w:rPr>
          <w:rFonts w:ascii="Times New Roman" w:hAnsi="Times New Roman" w:cs="Times New Roman"/>
          <w:b/>
          <w:sz w:val="24"/>
          <w:szCs w:val="24"/>
        </w:rPr>
        <w:t>Opće odredbe</w:t>
      </w:r>
    </w:p>
    <w:p w:rsidR="00161D15" w:rsidRPr="00161D15" w:rsidRDefault="00161D15" w:rsidP="00161D15">
      <w:pPr>
        <w:spacing w:line="276" w:lineRule="auto"/>
        <w:jc w:val="center"/>
        <w:rPr>
          <w:rFonts w:ascii="Times New Roman" w:hAnsi="Times New Roman" w:cs="Times New Roman"/>
          <w:b/>
          <w:sz w:val="24"/>
          <w:szCs w:val="24"/>
        </w:rPr>
      </w:pPr>
      <w:r w:rsidRPr="00161D15">
        <w:rPr>
          <w:rFonts w:ascii="Times New Roman" w:hAnsi="Times New Roman" w:cs="Times New Roman"/>
          <w:b/>
          <w:sz w:val="24"/>
          <w:szCs w:val="24"/>
        </w:rPr>
        <w:t>Članak 1.</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 xml:space="preserve">(1) Izdavatelj ovih Općih uvjeta korištenja sustava </w:t>
      </w:r>
      <w:proofErr w:type="spellStart"/>
      <w:r w:rsidRPr="00161D15">
        <w:rPr>
          <w:rFonts w:ascii="Times New Roman" w:hAnsi="Times New Roman" w:cs="Times New Roman"/>
          <w:sz w:val="24"/>
          <w:szCs w:val="24"/>
        </w:rPr>
        <w:t>eFondovi</w:t>
      </w:r>
      <w:proofErr w:type="spellEnd"/>
      <w:r w:rsidRPr="00161D15">
        <w:rPr>
          <w:rFonts w:ascii="Times New Roman" w:hAnsi="Times New Roman" w:cs="Times New Roman"/>
          <w:sz w:val="24"/>
          <w:szCs w:val="24"/>
        </w:rPr>
        <w:t xml:space="preserve"> (u nastavku teksta: Opći uvjeti) je Ministarstvo regionalnoga razvoja i fondova Europske unije, koje je ujedno i Vlasnik sustava </w:t>
      </w:r>
      <w:proofErr w:type="spellStart"/>
      <w:r w:rsidRPr="00161D15">
        <w:rPr>
          <w:rFonts w:ascii="Times New Roman" w:hAnsi="Times New Roman" w:cs="Times New Roman"/>
          <w:sz w:val="24"/>
          <w:szCs w:val="24"/>
        </w:rPr>
        <w:t>eFondovi</w:t>
      </w:r>
      <w:proofErr w:type="spellEnd"/>
      <w:r w:rsidRPr="00161D15">
        <w:rPr>
          <w:rFonts w:ascii="Times New Roman" w:hAnsi="Times New Roman" w:cs="Times New Roman"/>
          <w:sz w:val="24"/>
          <w:szCs w:val="24"/>
        </w:rPr>
        <w:t>.</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 xml:space="preserve">(2) Ovim se Općim uvjetima određuju uvjeti i način korištenja sustava </w:t>
      </w:r>
      <w:proofErr w:type="spellStart"/>
      <w:r w:rsidRPr="00161D15">
        <w:rPr>
          <w:rFonts w:ascii="Times New Roman" w:hAnsi="Times New Roman" w:cs="Times New Roman"/>
          <w:sz w:val="24"/>
          <w:szCs w:val="24"/>
        </w:rPr>
        <w:t>eFondovi</w:t>
      </w:r>
      <w:proofErr w:type="spellEnd"/>
      <w:r w:rsidRPr="00161D15">
        <w:rPr>
          <w:rFonts w:ascii="Times New Roman" w:hAnsi="Times New Roman" w:cs="Times New Roman"/>
          <w:sz w:val="24"/>
          <w:szCs w:val="24"/>
        </w:rPr>
        <w:t xml:space="preserve"> te prava i obveze Osoba koje ga koriste.</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 xml:space="preserve">(3) Usluga korištenja sustava </w:t>
      </w:r>
      <w:proofErr w:type="spellStart"/>
      <w:r w:rsidRPr="00161D15">
        <w:rPr>
          <w:rFonts w:ascii="Times New Roman" w:hAnsi="Times New Roman" w:cs="Times New Roman"/>
          <w:sz w:val="24"/>
          <w:szCs w:val="24"/>
        </w:rPr>
        <w:t>eFondovi</w:t>
      </w:r>
      <w:proofErr w:type="spellEnd"/>
      <w:r w:rsidRPr="00161D15">
        <w:rPr>
          <w:rFonts w:ascii="Times New Roman" w:hAnsi="Times New Roman" w:cs="Times New Roman"/>
          <w:sz w:val="24"/>
          <w:szCs w:val="24"/>
        </w:rPr>
        <w:t xml:space="preserve"> je nenaplatna.</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 xml:space="preserve">(4) Prihvaćanjem ovih Općih uvjeta, sva komunikacija u pogledu poziva na dostavu projektnih prijedloga, podnošenje projektnih prijedloga, očitovanja na upite Upravljačkog/Posredničkih tijela (i primanje tih upita), upućivanje upita tim tijelima, te obavljanje očitovanja u smislu provedbe ugovora o dodjeli bespovratnih sredstava, obavlja se putem sustava </w:t>
      </w:r>
      <w:proofErr w:type="spellStart"/>
      <w:r w:rsidRPr="00161D15">
        <w:rPr>
          <w:rFonts w:ascii="Times New Roman" w:hAnsi="Times New Roman" w:cs="Times New Roman"/>
          <w:sz w:val="24"/>
          <w:szCs w:val="24"/>
        </w:rPr>
        <w:t>eFondovi</w:t>
      </w:r>
      <w:proofErr w:type="spellEnd"/>
      <w:r w:rsidRPr="00161D15">
        <w:rPr>
          <w:rFonts w:ascii="Times New Roman" w:hAnsi="Times New Roman" w:cs="Times New Roman"/>
          <w:sz w:val="24"/>
          <w:szCs w:val="24"/>
        </w:rPr>
        <w:t xml:space="preserve">, primjenom ovih Općih uvjeta. </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 xml:space="preserve">(5) Iznimno od stavka 4. ovoga članka, u situacijama kada komunikacija nije moguća putem sustava </w:t>
      </w:r>
      <w:proofErr w:type="spellStart"/>
      <w:r w:rsidRPr="00161D15">
        <w:rPr>
          <w:rFonts w:ascii="Times New Roman" w:hAnsi="Times New Roman" w:cs="Times New Roman"/>
          <w:sz w:val="24"/>
          <w:szCs w:val="24"/>
        </w:rPr>
        <w:t>eFondovi</w:t>
      </w:r>
      <w:proofErr w:type="spellEnd"/>
      <w:r w:rsidRPr="00161D15">
        <w:rPr>
          <w:rFonts w:ascii="Times New Roman" w:hAnsi="Times New Roman" w:cs="Times New Roman"/>
          <w:sz w:val="24"/>
          <w:szCs w:val="24"/>
        </w:rPr>
        <w:t>, uvažavajući funkcionalnosti tog sustava (npr. ograničenja veličine dokumenata koji se dostavljaju), komunikacija između Korisnika i Upravljačkog i/ili Posredničkih tijela može se obavljati putem pošte (ili ovlaštenog pružatelja poštanskih usluga), telefaksa, u elektroničkom obliku, ili osobnim dostavljanjem pismena, na način koji odredi Upravljačko i/ili Posredničko tijelo, ili na način određen u pozivu na dostavu projektnih prijedloga, ili na način utvrđen u ugovoru o dodjeli bespovratnih sredstava.</w:t>
      </w:r>
    </w:p>
    <w:p w:rsidR="00161D15" w:rsidRPr="00161D15" w:rsidRDefault="00161D15" w:rsidP="00161D15">
      <w:pPr>
        <w:spacing w:line="276" w:lineRule="auto"/>
        <w:jc w:val="both"/>
        <w:rPr>
          <w:rFonts w:ascii="Times New Roman" w:hAnsi="Times New Roman" w:cs="Times New Roman"/>
          <w:sz w:val="24"/>
          <w:szCs w:val="24"/>
        </w:rPr>
      </w:pPr>
    </w:p>
    <w:p w:rsidR="00161D15" w:rsidRPr="00161D15" w:rsidRDefault="00161D15" w:rsidP="00161D15">
      <w:pPr>
        <w:spacing w:line="276" w:lineRule="auto"/>
        <w:jc w:val="center"/>
        <w:rPr>
          <w:rFonts w:ascii="Times New Roman" w:hAnsi="Times New Roman" w:cs="Times New Roman"/>
          <w:b/>
          <w:sz w:val="24"/>
          <w:szCs w:val="24"/>
        </w:rPr>
      </w:pPr>
      <w:r w:rsidRPr="00161D15">
        <w:rPr>
          <w:rFonts w:ascii="Times New Roman" w:hAnsi="Times New Roman" w:cs="Times New Roman"/>
          <w:b/>
          <w:sz w:val="24"/>
          <w:szCs w:val="24"/>
        </w:rPr>
        <w:t>Definicije pojmova</w:t>
      </w:r>
    </w:p>
    <w:p w:rsidR="00161D15" w:rsidRPr="00161D15" w:rsidRDefault="00161D15" w:rsidP="00161D15">
      <w:pPr>
        <w:spacing w:line="276" w:lineRule="auto"/>
        <w:jc w:val="center"/>
        <w:rPr>
          <w:rFonts w:ascii="Times New Roman" w:hAnsi="Times New Roman" w:cs="Times New Roman"/>
          <w:b/>
          <w:sz w:val="24"/>
          <w:szCs w:val="24"/>
        </w:rPr>
      </w:pPr>
      <w:r w:rsidRPr="00161D15">
        <w:rPr>
          <w:rFonts w:ascii="Times New Roman" w:hAnsi="Times New Roman" w:cs="Times New Roman"/>
          <w:b/>
          <w:sz w:val="24"/>
          <w:szCs w:val="24"/>
        </w:rPr>
        <w:t>Članak 2.</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(1) Pojmovi koji se koriste u ovim Općim uvjetima imaju sljedeće značenje:</w:t>
      </w:r>
    </w:p>
    <w:p w:rsidR="00161D15" w:rsidRPr="00161D15" w:rsidRDefault="00161D15" w:rsidP="00161D15">
      <w:pPr>
        <w:spacing w:line="276" w:lineRule="auto"/>
        <w:jc w:val="both"/>
        <w:rPr>
          <w:rFonts w:ascii="Times New Roman" w:hAnsi="Times New Roman" w:cs="Times New Roman"/>
          <w:sz w:val="24"/>
          <w:szCs w:val="24"/>
        </w:rPr>
      </w:pP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 xml:space="preserve">1. Sustav </w:t>
      </w:r>
      <w:proofErr w:type="spellStart"/>
      <w:r w:rsidRPr="00161D15">
        <w:rPr>
          <w:rFonts w:ascii="Times New Roman" w:hAnsi="Times New Roman" w:cs="Times New Roman"/>
          <w:sz w:val="24"/>
          <w:szCs w:val="24"/>
        </w:rPr>
        <w:t>eFondovi</w:t>
      </w:r>
      <w:proofErr w:type="spellEnd"/>
      <w:r w:rsidRPr="00161D15">
        <w:rPr>
          <w:rFonts w:ascii="Times New Roman" w:hAnsi="Times New Roman" w:cs="Times New Roman"/>
          <w:sz w:val="24"/>
          <w:szCs w:val="24"/>
        </w:rPr>
        <w:t xml:space="preserve"> (u nastavku teksta: Sustav) je informacijski i komunikacijski sustav koji osobama koje su ovlaštene za njegovo korištenje omogućuje (ovisno o razini ovlaštenja, određenih u ovim Općim uvjetima), uvid u objavljene pozive na dodjelu bespovratnih sredstava (u daljnjem tekstu: poziv), izmjene poziva, podatke vezane uz status poziva, postupak dodjele bespovratnih sredstava, kao i pripremanje i podnošenje projektnih prijedloga, te uvid u provedbu ugovora o dodjeli bespovratnih sredstava. Kroz Sustav se omogućuje zaprimanje upita, zahtjeva, dokumentacije i očitovanja od nadležnih tijela, dostavljanje očitovanja na upite </w:t>
      </w:r>
      <w:r w:rsidRPr="00161D15">
        <w:rPr>
          <w:rFonts w:ascii="Times New Roman" w:hAnsi="Times New Roman" w:cs="Times New Roman"/>
          <w:sz w:val="24"/>
          <w:szCs w:val="24"/>
        </w:rPr>
        <w:lastRenderedPageBreak/>
        <w:t>i zahtjeve, dostavljanje dokumentacije, sve mrežnim putem (putem interneta), putem razvijenog sučelja, na način određen ovim Općim uvjetima.</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2. EU označava Europsku uniju.</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3. Komunikacijski modul je prostor na sučelju Sustava i jedan je od načina predviđenih za očitovanje volje Osoba koje koriste Sustav, za označavanje neke akcije, upis, primanje i slanje podataka, putem kojeg se ostvaruje komunikacija i razmjena podataka između strana Ugovora o korištenju Sustava. Osim Komunikacijskog modula, ako za konkretnu radnju očitovanja u Sustavu nije predviđen Komunikacijski modul, komunikacija se obavlja kroz druge mogućnosti koje Sustav tehnički omogućuje (npr. preuzimanje (</w:t>
      </w:r>
      <w:proofErr w:type="spellStart"/>
      <w:r w:rsidRPr="00161D15">
        <w:rPr>
          <w:rFonts w:ascii="Times New Roman" w:hAnsi="Times New Roman" w:cs="Times New Roman"/>
          <w:sz w:val="24"/>
          <w:szCs w:val="24"/>
        </w:rPr>
        <w:t>eng</w:t>
      </w:r>
      <w:proofErr w:type="spellEnd"/>
      <w:r w:rsidRPr="00161D15">
        <w:rPr>
          <w:rFonts w:ascii="Times New Roman" w:hAnsi="Times New Roman" w:cs="Times New Roman"/>
          <w:sz w:val="24"/>
          <w:szCs w:val="24"/>
        </w:rPr>
        <w:t>. download) ili prilaganje (</w:t>
      </w:r>
      <w:proofErr w:type="spellStart"/>
      <w:r w:rsidRPr="00161D15">
        <w:rPr>
          <w:rFonts w:ascii="Times New Roman" w:hAnsi="Times New Roman" w:cs="Times New Roman"/>
          <w:sz w:val="24"/>
          <w:szCs w:val="24"/>
        </w:rPr>
        <w:t>eng</w:t>
      </w:r>
      <w:proofErr w:type="spellEnd"/>
      <w:r w:rsidRPr="00161D15">
        <w:rPr>
          <w:rFonts w:ascii="Times New Roman" w:hAnsi="Times New Roman" w:cs="Times New Roman"/>
          <w:sz w:val="24"/>
          <w:szCs w:val="24"/>
        </w:rPr>
        <w:t xml:space="preserve">. </w:t>
      </w:r>
      <w:proofErr w:type="spellStart"/>
      <w:r w:rsidRPr="00161D15">
        <w:rPr>
          <w:rFonts w:ascii="Times New Roman" w:hAnsi="Times New Roman" w:cs="Times New Roman"/>
          <w:sz w:val="24"/>
          <w:szCs w:val="24"/>
        </w:rPr>
        <w:t>upload</w:t>
      </w:r>
      <w:proofErr w:type="spellEnd"/>
      <w:r w:rsidRPr="00161D15">
        <w:rPr>
          <w:rFonts w:ascii="Times New Roman" w:hAnsi="Times New Roman" w:cs="Times New Roman"/>
          <w:sz w:val="24"/>
          <w:szCs w:val="24"/>
        </w:rPr>
        <w:t>) i sl.) te popunjavanje obrazaca.</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 xml:space="preserve">4. Korisnik je fizička osoba koja sklapa ili pravna u čije ime se sklapa Ugovor o korištenju sustava </w:t>
      </w:r>
      <w:proofErr w:type="spellStart"/>
      <w:r w:rsidRPr="00161D15">
        <w:rPr>
          <w:rFonts w:ascii="Times New Roman" w:hAnsi="Times New Roman" w:cs="Times New Roman"/>
          <w:sz w:val="24"/>
          <w:szCs w:val="24"/>
        </w:rPr>
        <w:t>eFondovi</w:t>
      </w:r>
      <w:proofErr w:type="spellEnd"/>
      <w:r w:rsidRPr="00161D15">
        <w:rPr>
          <w:rFonts w:ascii="Times New Roman" w:hAnsi="Times New Roman" w:cs="Times New Roman"/>
          <w:sz w:val="24"/>
          <w:szCs w:val="24"/>
        </w:rPr>
        <w:t>. U ime Korisnika pravne osobe radnje poduzima Ovlaštena osoba Korisnika te joj u tu svrhu nadležna tijela dostavljaju sve obavijesti i sva druga očitovanja, sve u skladu s ovim Općim uvjetima.</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 xml:space="preserve">5. Nadležna tijela su Upravljačka tijela, Posrednička tijela, Tijelo za ovjeravanje i Tijelo za reviziju su tijela u sustavu upravljanja i kontrole europskih strukturnih i investicijskih fondova, definirana </w:t>
      </w:r>
      <w:proofErr w:type="spellStart"/>
      <w:r w:rsidRPr="00161D15">
        <w:rPr>
          <w:rFonts w:ascii="Times New Roman" w:hAnsi="Times New Roman" w:cs="Times New Roman"/>
          <w:sz w:val="24"/>
          <w:szCs w:val="24"/>
        </w:rPr>
        <w:t>podzakonskim</w:t>
      </w:r>
      <w:proofErr w:type="spellEnd"/>
      <w:r w:rsidRPr="00161D15">
        <w:rPr>
          <w:rFonts w:ascii="Times New Roman" w:hAnsi="Times New Roman" w:cs="Times New Roman"/>
          <w:sz w:val="24"/>
          <w:szCs w:val="24"/>
        </w:rPr>
        <w:t xml:space="preserve"> propisima donesenim na temelju Zakona o uspostavi institucionalnog okvira za provedbu europskih strukturnih i investicijskih fondova u Republici Hrvatskoj u financijskom razdoblju 2014. – 2020. (Narodne novine, broj 92/14).</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6. Osoba koja koristi Sustav je pravna ili fizička osoba koja se, u okviru ovlaštenja koju su mu dana ovim Općim uvjetima, koristi Sustavom, a utvrđena je u točkama 8. do 12. ovih Općih uvjeta.</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7. Ovlaštena osoba Korisnika je fizička osoba koja je, prema odredbama Zakona o trgovačkim društvima (Narodne novine br. 111/1993, 34/1999, 118/2003, 146/2008, 137/2009, 152/2011 (pročišćeni tekst), 111/2012, 68/2013, 110/2015), Zakona o udrugama (Narodne novine br. 74/2014) ili prema odredbama nekog drugog propisa (nacionalnog, EU propisa ili propisa države članice EU) ili prema odredbama internih akata pravnih osoba donesenih na temelju tih propisa, ovlaštena osoba Korisnika za sklapanje Ugovora o korištenju Sustava, te je kao osoba ovlaštena na zastupanje pravne osobe, bez ograničenja, kao takva navedena u Evidenciji o osobnim identifikacijskim brojevima, Sudskom registru, Obrtnom registru, Registru udruga, Registru neprofitnih organizacija ili kojem drugom relevantnom javnom upisniku. Ako je Korisnik fizička osoba, smatra se Ovlaštenom osobom.</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8. Portal sustava je internetska (web) stranica s javno dostupnim sadržajem preko koje se pristupa Sustavu.</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 xml:space="preserve">9. Povezana osoba Korisnika je osoba koju je Korisnik, ili u njegovo ime, Ovlaštena osoba Korisnika, putem Sustava ovlastio na korištenje Sustava u odnosu na podatke Korisnika pravne osobe, te ima ovlasti u skladu s ovim Općim uvjetima. Korisnik fizička osoba ne može u Sustavu imati i određivati Povezane osobe Korisnika. </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lastRenderedPageBreak/>
        <w:t>10. Poziv na dodjelu bespovratnih sredstava je poziv koje objavljuje Posredničko tijelo ili Upravljačko tijelo u svrhu dodjele bespovratnih sredstava, nakon provedenog postupka dodjele, koji se opisuje u dokumentaciji poziva.</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11. Prijava je pristupanje Sustavu od strane već registriranog Korisnika (tj. Ovlaštene osobe Korisnika ili Povezane osobe Korisnika) radi ostvarivanja sesije u kojoj se koristi Sustav.</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12. Projekt ili projektni prijedlog je skup aktivnosti Korisnika i/ili Partnera koji se izvršavaju radi postizanja učinka (djela, proizvoda, građevine i sl.) radi čijeg je ostvarenja s Korisnikom sklopljen ugovor o dodjeli bespovratnih sredstava. Projekt za financiranje odabire Upravljačko tijelo ili se odabire pod njegovom nadležnošću, a provodi ga osoba koja je korisnik ugovora o dodjeli bespovratnih sredstava. Provedbom projekata omogućuje se ostvarenje ciljeva pripadajuće prioritetne osi.</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13. Registracija je zahtjev kojim pravna ili fizička osoba od Vlasnika Sustava, putem Sustava, traži ovlasti korištenja Sustava u svojstvu Korisnika, u okviru ovlasti određenih ovim Općim uvjetima.</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14. Strane su ugovorne strane Ugovora o korištenju Sustava (Korisnik i Vlasnik Sustava).</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15. Ugovor o dodjeli bespovratnih sredstava je ugovor između Korisnika s jedne strane, Posredničkih tijela i/ili Upravljačkog tijela s druge strane kojim se utvrđuje najviši iznos bespovratnih sredstava dodijeljen za provedbu projekta iz sredstava EU i sredstava iz državnog proračuna te drugi financijski i provedbeni uvjeti projekta.</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 xml:space="preserve">16. Ugovor o korištenju Sustava je ugovor o korištenju sustava </w:t>
      </w:r>
      <w:proofErr w:type="spellStart"/>
      <w:r w:rsidRPr="00161D15">
        <w:rPr>
          <w:rFonts w:ascii="Times New Roman" w:hAnsi="Times New Roman" w:cs="Times New Roman"/>
          <w:sz w:val="24"/>
          <w:szCs w:val="24"/>
        </w:rPr>
        <w:t>eFondovi</w:t>
      </w:r>
      <w:proofErr w:type="spellEnd"/>
      <w:r w:rsidRPr="00161D15">
        <w:rPr>
          <w:rFonts w:ascii="Times New Roman" w:hAnsi="Times New Roman" w:cs="Times New Roman"/>
          <w:sz w:val="24"/>
          <w:szCs w:val="24"/>
        </w:rPr>
        <w:t xml:space="preserve"> sklopljen između Korisnika i Vlasnika Sustava, na način određen ovim Općim uvjetima, kojim se uređuju prava i obveze ugovornih strana.</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17. Vlasnik Sustava je Ministarstvo regionalnoga razvoja i fondova Europske unije.</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 xml:space="preserve"> (2) Sve ostale primjenjive definicije navedene su u Općim uvjetima koji se primjenjuju na projekte financirane iz europskih strukturnih i investicijskih fondova u financijskom razdoblju 2014.–2020., objavljenima u okviru svakog poziva na dodjelu bespovratnih sredstava te na stranicama www.strukturnifondovi.hr.</w:t>
      </w:r>
    </w:p>
    <w:p w:rsidR="00161D15" w:rsidRPr="00161D15" w:rsidRDefault="00161D15" w:rsidP="00161D15">
      <w:pPr>
        <w:spacing w:line="276" w:lineRule="auto"/>
        <w:jc w:val="both"/>
        <w:rPr>
          <w:rFonts w:ascii="Times New Roman" w:hAnsi="Times New Roman" w:cs="Times New Roman"/>
          <w:sz w:val="24"/>
          <w:szCs w:val="24"/>
        </w:rPr>
      </w:pPr>
    </w:p>
    <w:p w:rsidR="00161D15" w:rsidRPr="00161D15" w:rsidRDefault="00161D15" w:rsidP="00161D15">
      <w:pPr>
        <w:spacing w:line="276" w:lineRule="auto"/>
        <w:jc w:val="center"/>
        <w:rPr>
          <w:rFonts w:ascii="Times New Roman" w:hAnsi="Times New Roman" w:cs="Times New Roman"/>
          <w:b/>
          <w:sz w:val="24"/>
          <w:szCs w:val="24"/>
        </w:rPr>
      </w:pPr>
      <w:r w:rsidRPr="00161D15">
        <w:rPr>
          <w:rFonts w:ascii="Times New Roman" w:hAnsi="Times New Roman" w:cs="Times New Roman"/>
          <w:b/>
          <w:sz w:val="24"/>
          <w:szCs w:val="24"/>
        </w:rPr>
        <w:t>Opseg primjene</w:t>
      </w:r>
    </w:p>
    <w:p w:rsidR="00161D15" w:rsidRPr="00161D15" w:rsidRDefault="00161D15" w:rsidP="00161D15">
      <w:pPr>
        <w:spacing w:line="276" w:lineRule="auto"/>
        <w:jc w:val="center"/>
        <w:rPr>
          <w:rFonts w:ascii="Times New Roman" w:hAnsi="Times New Roman" w:cs="Times New Roman"/>
          <w:b/>
          <w:sz w:val="24"/>
          <w:szCs w:val="24"/>
        </w:rPr>
      </w:pPr>
      <w:r w:rsidRPr="00161D15">
        <w:rPr>
          <w:rFonts w:ascii="Times New Roman" w:hAnsi="Times New Roman" w:cs="Times New Roman"/>
          <w:b/>
          <w:sz w:val="24"/>
          <w:szCs w:val="24"/>
        </w:rPr>
        <w:t>Članak 3.</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(1) Sustav, na način određen ovim Općim uvjetima i u skladu s ovlastima koje se dodjeljuju na temelju ovih Općih uvjeta, koriste osobe navedene u članku 2. stavku 1. točkama 4., 5., 7., 9. i 17. ovih Općih uvjeta, te ih ovi Opći uvjeti obvezuju.</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 xml:space="preserve">(2) Ovi Opći uvjeti se dostavljaju Korisniku, mrežnim putem (putem interneta), prilikom podnošenja Registracije, a potvrdom Registracije Korisnik, odnosno Ovlaštena osoba Korisnika, potvrđuje da je Opće uvjete primio, da ih razumije i da je suglasan s njihovim sadržajem te da ih prihvaća. </w:t>
      </w:r>
    </w:p>
    <w:p w:rsidR="00161D15" w:rsidRPr="00161D15" w:rsidRDefault="00161D15" w:rsidP="00161D15">
      <w:pPr>
        <w:spacing w:line="276" w:lineRule="auto"/>
        <w:jc w:val="both"/>
        <w:rPr>
          <w:rFonts w:ascii="Times New Roman" w:hAnsi="Times New Roman" w:cs="Times New Roman"/>
          <w:sz w:val="24"/>
          <w:szCs w:val="24"/>
        </w:rPr>
      </w:pPr>
    </w:p>
    <w:p w:rsidR="00161D15" w:rsidRPr="00161D15" w:rsidRDefault="00161D15" w:rsidP="00161D15">
      <w:pPr>
        <w:spacing w:line="276" w:lineRule="auto"/>
        <w:jc w:val="center"/>
        <w:rPr>
          <w:rFonts w:ascii="Times New Roman" w:hAnsi="Times New Roman" w:cs="Times New Roman"/>
          <w:b/>
          <w:sz w:val="24"/>
          <w:szCs w:val="24"/>
        </w:rPr>
      </w:pPr>
      <w:r w:rsidRPr="00161D15">
        <w:rPr>
          <w:rFonts w:ascii="Times New Roman" w:hAnsi="Times New Roman" w:cs="Times New Roman"/>
          <w:b/>
          <w:sz w:val="24"/>
          <w:szCs w:val="24"/>
        </w:rPr>
        <w:t>Registracija i prijava u Sustav te sklapanje Ugovora o korištenju Sustava</w:t>
      </w:r>
    </w:p>
    <w:p w:rsidR="00161D15" w:rsidRPr="00161D15" w:rsidRDefault="00161D15" w:rsidP="00161D15">
      <w:pPr>
        <w:spacing w:line="276" w:lineRule="auto"/>
        <w:jc w:val="center"/>
        <w:rPr>
          <w:rFonts w:ascii="Times New Roman" w:hAnsi="Times New Roman" w:cs="Times New Roman"/>
          <w:b/>
          <w:sz w:val="24"/>
          <w:szCs w:val="24"/>
        </w:rPr>
      </w:pPr>
      <w:r w:rsidRPr="00161D15">
        <w:rPr>
          <w:rFonts w:ascii="Times New Roman" w:hAnsi="Times New Roman" w:cs="Times New Roman"/>
          <w:b/>
          <w:sz w:val="24"/>
          <w:szCs w:val="24"/>
        </w:rPr>
        <w:t>Članak 4.</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(1) Svatko ima pravo korištenja Portala sustava, bez registriranja u Sustav, u okviru ovlasti određenih u članku 6. stavku 1. ovih Općih uvjeta.</w:t>
      </w:r>
    </w:p>
    <w:p w:rsidR="00161D15" w:rsidRPr="00161D15" w:rsidRDefault="00161D15" w:rsidP="00161D15">
      <w:pPr>
        <w:spacing w:line="276" w:lineRule="auto"/>
        <w:jc w:val="both"/>
        <w:rPr>
          <w:rFonts w:ascii="Times New Roman" w:hAnsi="Times New Roman" w:cs="Times New Roman"/>
          <w:sz w:val="24"/>
          <w:szCs w:val="24"/>
        </w:rPr>
      </w:pP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(2) Svatko se može registrirati u Sustav i, kao Korisnik koristiti Sustav u okviru ovlasti određenih u članku 6. stavku 2. Općih uvjeta. Osoba koja namjerava podnijeti projektni prijedlog na poziv na dodjelu bespovratnih sredstava se mora registrirati u Sustav.</w:t>
      </w:r>
    </w:p>
    <w:p w:rsidR="00161D15" w:rsidRPr="00161D15" w:rsidRDefault="00161D15" w:rsidP="00161D15">
      <w:pPr>
        <w:spacing w:line="276" w:lineRule="auto"/>
        <w:jc w:val="both"/>
        <w:rPr>
          <w:rFonts w:ascii="Times New Roman" w:hAnsi="Times New Roman" w:cs="Times New Roman"/>
          <w:sz w:val="24"/>
          <w:szCs w:val="24"/>
        </w:rPr>
      </w:pP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 xml:space="preserve">(3) Povezana osoba Korisnika koristi Sustav u skladu s člankom 6. stavkom 4. ovih Općih uvjeta. </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 xml:space="preserve">(4) Korisnik se prilikom podnošenja Registracije identificira svojim vjerodajnicama Nacionalnog identifikacijskog i </w:t>
      </w:r>
      <w:proofErr w:type="spellStart"/>
      <w:r w:rsidRPr="00161D15">
        <w:rPr>
          <w:rFonts w:ascii="Times New Roman" w:hAnsi="Times New Roman" w:cs="Times New Roman"/>
          <w:sz w:val="24"/>
          <w:szCs w:val="24"/>
        </w:rPr>
        <w:t>autentifikacijskog</w:t>
      </w:r>
      <w:proofErr w:type="spellEnd"/>
      <w:r w:rsidRPr="00161D15">
        <w:rPr>
          <w:rFonts w:ascii="Times New Roman" w:hAnsi="Times New Roman" w:cs="Times New Roman"/>
          <w:sz w:val="24"/>
          <w:szCs w:val="24"/>
        </w:rPr>
        <w:t xml:space="preserve"> sustava (u nastavku teksta: NIAS). </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(5) Status Ovlaštene osobe Korisnika Sustav provjerava automatizmom, sravnjivanjem pristupnih podataka (vjerodajnica NIAS-a) s podacima u Sudskom registru ili kojim drugim relevantnim javnim upisnicima, tj. provjerom osobnog identifikacijskog broja fizičke osobe (ako je Korisnik fizička osoba). Ako postoji sumnja u ovlaštenje Ovlaštene osobe Korisnika na zastupanje Korisnika (npr. osoba koja podnosi Registraciju nije upisana u javne upisnike kao osoba koja je ovlaštena na zastupanje Korisnika bez ograničenja ili o tome ne postoji podatak), Vlasnik Sustava može zatražiti dokaz o ovlaštenju na zastupanje i uskratiti pravo na zastupanje Korisnika, pa tako i sklapanje Ugovora o korištenju Sustava osobi koja ne dokaže ovlaštenje za zastupanje. Svi navedeni podatci, osim automatizmom, mogu se provjeravati i ručnim putem.</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 xml:space="preserve">(6) Prihvatom ovih Općih uvjeta sklapa se, između Korisnika s jedne i Vlasnika Sustava s druge strane, Ugovor o korištenju Sustava. </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(7) Nakon sklapanja Ugovora o korištenju Sustava, Vlasnik Sustava Korisniku dostavlja jednokratni aktivacijski kod, uporabom kojega će se omogućiti korištenje Sustava s ovlastima Korisnika. Svim daljnjim sesijama korištenja Sustava Korisnik pristupa svojim vjerodajnicama NIAS-a i u tu svrhu mu više ne treba jednokratni aktivacijski kod.</w:t>
      </w:r>
    </w:p>
    <w:p w:rsidR="00161D15" w:rsidRPr="00161D15" w:rsidRDefault="00161D15" w:rsidP="00161D15">
      <w:pPr>
        <w:spacing w:line="276" w:lineRule="auto"/>
        <w:jc w:val="both"/>
        <w:rPr>
          <w:rFonts w:ascii="Times New Roman" w:hAnsi="Times New Roman" w:cs="Times New Roman"/>
          <w:sz w:val="24"/>
          <w:szCs w:val="24"/>
        </w:rPr>
      </w:pPr>
    </w:p>
    <w:p w:rsidR="00161D15" w:rsidRPr="00161D15" w:rsidRDefault="00161D15" w:rsidP="00161D15">
      <w:pPr>
        <w:spacing w:line="276" w:lineRule="auto"/>
        <w:jc w:val="center"/>
        <w:rPr>
          <w:rFonts w:ascii="Times New Roman" w:hAnsi="Times New Roman" w:cs="Times New Roman"/>
          <w:b/>
          <w:sz w:val="24"/>
          <w:szCs w:val="24"/>
        </w:rPr>
      </w:pPr>
      <w:r w:rsidRPr="00161D15">
        <w:rPr>
          <w:rFonts w:ascii="Times New Roman" w:hAnsi="Times New Roman" w:cs="Times New Roman"/>
          <w:b/>
          <w:sz w:val="24"/>
          <w:szCs w:val="24"/>
        </w:rPr>
        <w:t>Korištenje podataka</w:t>
      </w:r>
    </w:p>
    <w:p w:rsidR="00161D15" w:rsidRPr="00161D15" w:rsidRDefault="00161D15" w:rsidP="00161D15">
      <w:pPr>
        <w:spacing w:line="276" w:lineRule="auto"/>
        <w:jc w:val="center"/>
        <w:rPr>
          <w:rFonts w:ascii="Times New Roman" w:hAnsi="Times New Roman" w:cs="Times New Roman"/>
          <w:b/>
          <w:sz w:val="24"/>
          <w:szCs w:val="24"/>
        </w:rPr>
      </w:pPr>
      <w:r w:rsidRPr="00161D15">
        <w:rPr>
          <w:rFonts w:ascii="Times New Roman" w:hAnsi="Times New Roman" w:cs="Times New Roman"/>
          <w:b/>
          <w:sz w:val="24"/>
          <w:szCs w:val="24"/>
        </w:rPr>
        <w:t>Članak 5.</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(1) Registriranjem u Sustav i svakom prijavom u Sustav, Korisnik pristaje da Vlasnik Sustava provede provjeru njegovih osobnih podataka, sve u svrhu identifikacije i provjere ovlaštenja za valjano korištenje Sustava te pristaje da Vlasnik Sustava te podatke, kao i podatke koji se dobiju korištenjem Sustava obrađuje u evidencijske i statističke svrhe, za vlastite potrebe.</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lastRenderedPageBreak/>
        <w:t xml:space="preserve">(2) Korisnik pristaje da Vlasnik Sustava podatke prikupljene korištenjem Sustava prosljeđuje, omogući uvid ili preslikavanje osobama koje su prema pozitivnim propisima ovlaštene za nadzor, reviziju i kontrolu, kako Sustava, tako i rada Nadležnih tijela. </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 xml:space="preserve">(3) Vlasnik Sustava može tijelu s javnopravnim ovlastima, osobito tijelima iz članka 2. stavka 1. točke 5. ovih Općih uvjeta, omogućiti korištenje Sustava u okviru njihovih ovlasti koje imaju kao Nadležna tijela te im u tu svrhu dostaviti jednokratni aktivacijski kod. Vlasnik Sustava ne odgovora za podatke koje ta tijela, u okviru svojih, na zakonu ili </w:t>
      </w:r>
      <w:proofErr w:type="spellStart"/>
      <w:r w:rsidRPr="00161D15">
        <w:rPr>
          <w:rFonts w:ascii="Times New Roman" w:hAnsi="Times New Roman" w:cs="Times New Roman"/>
          <w:sz w:val="24"/>
          <w:szCs w:val="24"/>
        </w:rPr>
        <w:t>podzakonskim</w:t>
      </w:r>
      <w:proofErr w:type="spellEnd"/>
      <w:r w:rsidRPr="00161D15">
        <w:rPr>
          <w:rFonts w:ascii="Times New Roman" w:hAnsi="Times New Roman" w:cs="Times New Roman"/>
          <w:sz w:val="24"/>
          <w:szCs w:val="24"/>
        </w:rPr>
        <w:t xml:space="preserve"> aktima utemeljenim ovlastima, unesu u Sustav.</w:t>
      </w:r>
    </w:p>
    <w:p w:rsidR="00161D15" w:rsidRPr="00161D15" w:rsidRDefault="00161D15" w:rsidP="00161D15">
      <w:pPr>
        <w:spacing w:line="276" w:lineRule="auto"/>
        <w:jc w:val="center"/>
        <w:rPr>
          <w:rFonts w:ascii="Times New Roman" w:hAnsi="Times New Roman" w:cs="Times New Roman"/>
          <w:b/>
          <w:sz w:val="24"/>
          <w:szCs w:val="24"/>
        </w:rPr>
      </w:pPr>
      <w:r w:rsidRPr="00161D15">
        <w:rPr>
          <w:rFonts w:ascii="Times New Roman" w:hAnsi="Times New Roman" w:cs="Times New Roman"/>
          <w:b/>
          <w:sz w:val="24"/>
          <w:szCs w:val="24"/>
        </w:rPr>
        <w:t>Operativnost Sustava</w:t>
      </w:r>
    </w:p>
    <w:p w:rsidR="00161D15" w:rsidRPr="00161D15" w:rsidRDefault="00161D15" w:rsidP="00161D15">
      <w:pPr>
        <w:spacing w:line="276" w:lineRule="auto"/>
        <w:jc w:val="center"/>
        <w:rPr>
          <w:rFonts w:ascii="Times New Roman" w:hAnsi="Times New Roman" w:cs="Times New Roman"/>
          <w:sz w:val="24"/>
          <w:szCs w:val="24"/>
        </w:rPr>
      </w:pPr>
      <w:r w:rsidRPr="00161D15">
        <w:rPr>
          <w:rFonts w:ascii="Times New Roman" w:hAnsi="Times New Roman" w:cs="Times New Roman"/>
          <w:b/>
          <w:sz w:val="24"/>
          <w:szCs w:val="24"/>
        </w:rPr>
        <w:t>Članak 6.</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(1) Svatko preko Portala Sustava ima uvid u objavljene pozive, izmjene poziva i javno objavljena pojašnjenja nadležnih tijela, bez mogućnosti intervencije u sadržaj Sustava, odnosno slanje upita i primanja obavijesti i sl., ili uvida u pojedine projektne prijedloge i popratnu dokumentaciju.</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(2) Korisnik, odnosno Ovlaštena osoba Korisnika u Sustavu imaju ovlasti čitanja svih podataka o Korisniku, njegovim podnesenim projektnim prijedlozima i ugovorima o dodjeli bespovratnih sredstava te prava uređivanja i podnošenja upita Upravljačkom i/ili Posredničkom tijelu, očitovanja na upite, zahtjeve, naloge, obavijesti, očitovanja Upravljačkog tijela i/ili Posredničkih tijela u postupku dodjele bespovratnih sredstava, te po sklapanju ugovora o dodjeli bespovratnih sredstva, kako je navedeno u Prilogu - Prava Ovlaštenih osoba Korisnika i Povezanih osoba Korisnika u Sustavu (u nastavku teksta: Prilog Općih uvjeta), koji su sastavni dio ovih Općih uvjeta i Ugovora o korištenju Sustava.</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 xml:space="preserve">(3) Ovlaštena osoba Korisnika može putem Sustava dodati jednu ili više Povezanih osoba Korisnika, oduzimati im status Povezane osobe Korisnika te imenovati druge osobe kao Povezane osobe Korisnika. </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(4) Povezana osobe Korisnika u Sustavu ima ovlasti čitanja svih podataka o Korisniku, njegovim podnesenim projektnim prijedlozima i ugovorima o dodjeli bespovratnih sredstava te ograničena prava uređivanja i podnošenja upita Upravljačkom i/ili Posredničkom tijelu, ograničena prava očitovanja na upite, zahtjeve, naloge, obavijesti, očitovanja Upravljačkog tijela i/ili Posredničkih tijela u postupku dodjele bespovratnih sredstava te po sklapanju ugovora o dodjeli bespovratnih sredstva, kako je navedeno u Prilogu Općih uvjeta), koji su sastavni dio ovih Općih uvjeta i Ugovora o korištenju Sustava.</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(5) Korisnik, odnosno Ovlaštena osoba Korisnika, jamči da je Povezana osoba Korisnika ovlaštena zastupati Korisnika u okviru prava navedenih u Prilogu Općih uvjeta.</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 xml:space="preserve">(6) Korisnik, odnosno Ovlaštena osoba Korisnika i Povezana osoba Korisnika pristaju da se dostava u smislu stavka 2. i 4. ovoga članka, obavlja isključivo kroz Sustav, dostavom u odgovarajući Komunikacijski modul ili, ako za konkretnu radnju očitovanja u Sustavu nije predviđen Komunikacijski modul, kroz druge mogućnosti koje Sustav tehnički omogućuje. </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lastRenderedPageBreak/>
        <w:t xml:space="preserve">(7) Ako je to Korisnik, odnosno Ovlaštena osoba Korisnika i/ili Povezana osoba Korisnika očitovanjem kroz Sustav prethodno zahtijevala, obavijest o izvršenoj dostavi kroz Sustav šalje se korisniku, odnosno Ovlaštenoj osobi Korisnika i/ili Povezanoj osobi Korisnika putem adrese elektroničke pošte, koja je u tu svrhu u Sustavu naznačena. </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 xml:space="preserve">(8) Operativne mogućnosti Sustava u pogledu primanja i slanja pojedinih informacija se mogu mijenjati, ponajprije usavršavanjem funkcionalnosti i operativnih mogućnosti Sustava, odnosno ako to zahtijeva relevantni zakonodavni i </w:t>
      </w:r>
      <w:proofErr w:type="spellStart"/>
      <w:r w:rsidRPr="00161D15">
        <w:rPr>
          <w:rFonts w:ascii="Times New Roman" w:hAnsi="Times New Roman" w:cs="Times New Roman"/>
          <w:sz w:val="24"/>
          <w:szCs w:val="24"/>
        </w:rPr>
        <w:t>postupovni</w:t>
      </w:r>
      <w:proofErr w:type="spellEnd"/>
      <w:r w:rsidRPr="00161D15">
        <w:rPr>
          <w:rFonts w:ascii="Times New Roman" w:hAnsi="Times New Roman" w:cs="Times New Roman"/>
          <w:sz w:val="24"/>
          <w:szCs w:val="24"/>
        </w:rPr>
        <w:t xml:space="preserve"> okvir, o čemu se Korisnik pravovremeno obavještava putem Sustava.</w:t>
      </w:r>
    </w:p>
    <w:p w:rsidR="00161D15" w:rsidRPr="00161D15" w:rsidRDefault="00161D15" w:rsidP="00161D15">
      <w:pPr>
        <w:spacing w:line="276" w:lineRule="auto"/>
        <w:jc w:val="both"/>
        <w:rPr>
          <w:rFonts w:ascii="Times New Roman" w:hAnsi="Times New Roman" w:cs="Times New Roman"/>
          <w:sz w:val="24"/>
          <w:szCs w:val="24"/>
        </w:rPr>
      </w:pPr>
    </w:p>
    <w:p w:rsidR="00161D15" w:rsidRPr="00161D15" w:rsidRDefault="00161D15" w:rsidP="00161D15">
      <w:pPr>
        <w:spacing w:line="276" w:lineRule="auto"/>
        <w:jc w:val="center"/>
        <w:rPr>
          <w:rFonts w:ascii="Times New Roman" w:hAnsi="Times New Roman" w:cs="Times New Roman"/>
          <w:b/>
          <w:sz w:val="24"/>
          <w:szCs w:val="24"/>
        </w:rPr>
      </w:pPr>
      <w:r w:rsidRPr="00161D15">
        <w:rPr>
          <w:rFonts w:ascii="Times New Roman" w:hAnsi="Times New Roman" w:cs="Times New Roman"/>
          <w:b/>
          <w:sz w:val="24"/>
          <w:szCs w:val="24"/>
        </w:rPr>
        <w:t>Dostava</w:t>
      </w:r>
    </w:p>
    <w:p w:rsidR="00161D15" w:rsidRPr="00161D15" w:rsidRDefault="00161D15" w:rsidP="00161D15">
      <w:pPr>
        <w:spacing w:line="276" w:lineRule="auto"/>
        <w:jc w:val="center"/>
        <w:rPr>
          <w:rFonts w:ascii="Times New Roman" w:hAnsi="Times New Roman" w:cs="Times New Roman"/>
          <w:b/>
          <w:sz w:val="24"/>
          <w:szCs w:val="24"/>
        </w:rPr>
      </w:pPr>
      <w:r w:rsidRPr="00161D15">
        <w:rPr>
          <w:rFonts w:ascii="Times New Roman" w:hAnsi="Times New Roman" w:cs="Times New Roman"/>
          <w:b/>
          <w:sz w:val="24"/>
          <w:szCs w:val="24"/>
        </w:rPr>
        <w:t>Članak 7.</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(1) Dostava putem Sustava predstavlja oblik dostave elektroničkim putem.</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(2) Dostava Korisniku se smatra izvršenom u trenutku kada je obavijest o slanju zabilježena na poslužitelju Sustava. U slučaju spora, teret dokazivanja je na Korisniku.</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 xml:space="preserve">(3) U slučaju promjene kontakt podataka Korisnika, Ovlaštene osobe Korisnika i Povezane osobe Korisnika (npr. adrese ili adrese elektroničke pošte), Korisnik se obvezuje odmah o toj činjenici obavijestiti Vlasnika Sustava putem Sustava. Do navedenog trenutka, obavijesti o izvršenoj dostavi u kontekstu članka 6. stavka 7., u skladu s postojećim kontakt podatcima smatraju se valjanima. </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(4) Ako Korisnik, Ovlaštena osoba Korisnika i Povezana osoba Korisnika nisu postupili u skladu sa stavkom 3. ovoga članka, te se zbog toga dostava elektroničkom poštom nije mogla izvršiti, Korisniku će se obavijest o izvršenoj dostavi izvršiti dostavom u Sustav.</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(5) Korisnik sve dostave Upravljačkom tijelu i/ili Posredničkim tijelima izvršava putem Sustava. Dostava Upravljačkom tijelu i Posredničkim tijelima se smatra izvršenom kada je obavijest o slanju zabilježena na poslužitelju Sustava. U slučaju spora, teret dokazivanja je na Korisniku.</w:t>
      </w:r>
    </w:p>
    <w:p w:rsidR="00161D15" w:rsidRPr="00161D15" w:rsidRDefault="00161D15" w:rsidP="00161D15">
      <w:pPr>
        <w:spacing w:line="276" w:lineRule="auto"/>
        <w:jc w:val="both"/>
        <w:rPr>
          <w:rFonts w:ascii="Times New Roman" w:hAnsi="Times New Roman" w:cs="Times New Roman"/>
          <w:sz w:val="24"/>
          <w:szCs w:val="24"/>
        </w:rPr>
      </w:pPr>
    </w:p>
    <w:p w:rsidR="00161D15" w:rsidRPr="00161D15" w:rsidRDefault="00161D15" w:rsidP="00161D15">
      <w:pPr>
        <w:spacing w:line="276" w:lineRule="auto"/>
        <w:jc w:val="center"/>
        <w:rPr>
          <w:rFonts w:ascii="Times New Roman" w:hAnsi="Times New Roman" w:cs="Times New Roman"/>
          <w:b/>
          <w:sz w:val="24"/>
          <w:szCs w:val="24"/>
        </w:rPr>
      </w:pPr>
      <w:r w:rsidRPr="00161D15">
        <w:rPr>
          <w:rFonts w:ascii="Times New Roman" w:hAnsi="Times New Roman" w:cs="Times New Roman"/>
          <w:b/>
          <w:sz w:val="24"/>
          <w:szCs w:val="24"/>
        </w:rPr>
        <w:t>Utvrđivanje odgovornosti</w:t>
      </w:r>
    </w:p>
    <w:p w:rsidR="00161D15" w:rsidRPr="00161D15" w:rsidRDefault="00161D15" w:rsidP="00161D15">
      <w:pPr>
        <w:spacing w:line="276" w:lineRule="auto"/>
        <w:jc w:val="center"/>
        <w:rPr>
          <w:rFonts w:ascii="Times New Roman" w:hAnsi="Times New Roman" w:cs="Times New Roman"/>
          <w:b/>
          <w:sz w:val="24"/>
          <w:szCs w:val="24"/>
        </w:rPr>
      </w:pPr>
      <w:r w:rsidRPr="00161D15">
        <w:rPr>
          <w:rFonts w:ascii="Times New Roman" w:hAnsi="Times New Roman" w:cs="Times New Roman"/>
          <w:b/>
          <w:sz w:val="24"/>
          <w:szCs w:val="24"/>
        </w:rPr>
        <w:t>Članak 8.</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 xml:space="preserve">(1) Korisnik je odgovoran za očitovanja/izjave volje Ovlaštene osobe Korisnika, Povezane osobe Korisnika, ili bilo koje treće osobe u Sustavu, koje nastanu uporabom vjerodajnica NIAS-a i/ili jednokratnog aktivacijskog koda (Korisnika, odnosno Ovlaštene osobe Korisnika i Povezane osobe Korisnika), i koje u potpunosti obvezuju Korisnika i proizvode pune pravne učinke te ih Korisnik čini nespornima. </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 xml:space="preserve">(2) Vlasnik Sustava ne odgovara za eventualne zlouporabe Sustava i očitovanja u Sustavu nastala korištenjem vjerodajnica NIAS-a i/ili jednokratnog aktivacijskog koda Korisnika, odnosno Ovlaštenih osoba Korisnika, Povezanih osoba Korisnika, niti za štetu koja bi na taj </w:t>
      </w:r>
      <w:r w:rsidRPr="00161D15">
        <w:rPr>
          <w:rFonts w:ascii="Times New Roman" w:hAnsi="Times New Roman" w:cs="Times New Roman"/>
          <w:sz w:val="24"/>
          <w:szCs w:val="24"/>
        </w:rPr>
        <w:lastRenderedPageBreak/>
        <w:t>način mogla nastati Korisniku, Ovlaštenoj osobi Korisnika, Povezanoj osobi Korisnika ili trećoj strani.</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 xml:space="preserve">(3) Korisnik, odnosno Ovlaštena osoba Korisnika je obvezan odmah prijaviti Vlasniku Sustava zlouporabu ili sumnju na zlouporabu prava koja proizlaze iz ovih Općih uvjeta, gubitak ili zlouporabu vjerodajnica NIAS-a i/ili jednokratnog aktivacijskog koda. </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(4) U slučaju iz stavka 3. ovoga članka, Vlasnik sustava na zahtjev Korisnika odmah ukida valjanost svih pristupnih podataka u pogledu korištenja Sustava.</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(5) Vlasnik Sustava, Upravljačko tijelo i Posrednička tijela nisu odgovorna za nemogućnost Korisnikovog korištenja Sustava zbog propusta ili radnji Korisnika, odnosno Ovlaštene osobe Korisnika i Povezane osobe Korisnika, ili trećih osoba (npr. prekid internetske veze, prekid dostave električne energije i sl. od njihovog pružatelja tih usluga, kvar njihovog računala i sl.), niti za posljedice koje proizlaze iz takve nemogućnosti.</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 xml:space="preserve">(6) Ako, uslijed neoperativnosti Sustava uzrokovanog tehničkim nefunkcionalnostima (npr. greškama u Sustavu, nestankom internetske veze, električnog napajanja, zbog više sile) nastalih na strani Vlasnika Sustava, Upravljačkog tijela i Posredničkih tijela koja osiguravaju operativnost Sustava, Korisnik nije mogao putem Sustava pravovremeno dati očitovanje volje, pa je zbog tog propusta za njega nastala, ili je razumno za očekivati da bi mogla nastati šteta ili štetna posljedica, Korisniku će se omogućiti da predmetnu radnju obavi nakon prestanka okolnosti koje su dovele do nemogućnosti očitovanja. </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(7) Korisnik je odgovaran za štetu koja nastane Vlasniku Sustava, Upravljačkom tijelu, Posredničkim tijelima ili trećoj osobi zbog nepridržavanja odredbi Ugovora o korištenju Sustava, kao i zbog nepropisnog korištenja Sustava od strane Korisnika, Ovlaštenih osoba Korisnika, Povezanih osoba Korisnika, kao i svih trećih osoba koje se vjerodajnicama NIAS-a ili jednokratnim aktivacijskim kodom legitimiraju kao Korisnik, Ovlaštena osoba Korisnika ili Povezana osoba Korisnika.</w:t>
      </w:r>
    </w:p>
    <w:p w:rsidR="00161D15" w:rsidRPr="00161D15" w:rsidRDefault="00161D15" w:rsidP="00161D15">
      <w:pPr>
        <w:spacing w:line="276" w:lineRule="auto"/>
        <w:jc w:val="both"/>
        <w:rPr>
          <w:rFonts w:ascii="Times New Roman" w:hAnsi="Times New Roman" w:cs="Times New Roman"/>
          <w:sz w:val="24"/>
          <w:szCs w:val="24"/>
        </w:rPr>
      </w:pPr>
    </w:p>
    <w:p w:rsidR="00161D15" w:rsidRPr="00161D15" w:rsidRDefault="00161D15" w:rsidP="00161D15">
      <w:pPr>
        <w:spacing w:line="276" w:lineRule="auto"/>
        <w:jc w:val="center"/>
        <w:rPr>
          <w:rFonts w:ascii="Times New Roman" w:hAnsi="Times New Roman" w:cs="Times New Roman"/>
          <w:b/>
          <w:sz w:val="24"/>
          <w:szCs w:val="24"/>
        </w:rPr>
      </w:pPr>
      <w:r w:rsidRPr="00161D15">
        <w:rPr>
          <w:rFonts w:ascii="Times New Roman" w:hAnsi="Times New Roman" w:cs="Times New Roman"/>
          <w:b/>
          <w:sz w:val="24"/>
          <w:szCs w:val="24"/>
        </w:rPr>
        <w:t>Korištenje „kolačića“</w:t>
      </w:r>
    </w:p>
    <w:p w:rsidR="00161D15" w:rsidRPr="00161D15" w:rsidRDefault="00161D15" w:rsidP="00161D15">
      <w:pPr>
        <w:spacing w:line="276" w:lineRule="auto"/>
        <w:jc w:val="center"/>
        <w:rPr>
          <w:rFonts w:ascii="Times New Roman" w:hAnsi="Times New Roman" w:cs="Times New Roman"/>
          <w:b/>
          <w:sz w:val="24"/>
          <w:szCs w:val="24"/>
        </w:rPr>
      </w:pPr>
      <w:r w:rsidRPr="00161D15">
        <w:rPr>
          <w:rFonts w:ascii="Times New Roman" w:hAnsi="Times New Roman" w:cs="Times New Roman"/>
          <w:b/>
          <w:sz w:val="24"/>
          <w:szCs w:val="24"/>
        </w:rPr>
        <w:t>Članak 9.</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Strane Ugovora o korištenju Sustava su suglasne da Sustav koristi „kolačiće“ (</w:t>
      </w:r>
      <w:proofErr w:type="spellStart"/>
      <w:r w:rsidRPr="00161D15">
        <w:rPr>
          <w:rFonts w:ascii="Times New Roman" w:hAnsi="Times New Roman" w:cs="Times New Roman"/>
          <w:sz w:val="24"/>
          <w:szCs w:val="24"/>
        </w:rPr>
        <w:t>eng</w:t>
      </w:r>
      <w:proofErr w:type="spellEnd"/>
      <w:r w:rsidRPr="00161D15">
        <w:rPr>
          <w:rFonts w:ascii="Times New Roman" w:hAnsi="Times New Roman" w:cs="Times New Roman"/>
          <w:sz w:val="24"/>
          <w:szCs w:val="24"/>
        </w:rPr>
        <w:t xml:space="preserve">. </w:t>
      </w:r>
      <w:proofErr w:type="spellStart"/>
      <w:r w:rsidRPr="00161D15">
        <w:rPr>
          <w:rFonts w:ascii="Times New Roman" w:hAnsi="Times New Roman" w:cs="Times New Roman"/>
          <w:sz w:val="24"/>
          <w:szCs w:val="24"/>
        </w:rPr>
        <w:t>cookies</w:t>
      </w:r>
      <w:proofErr w:type="spellEnd"/>
      <w:r w:rsidRPr="00161D15">
        <w:rPr>
          <w:rFonts w:ascii="Times New Roman" w:hAnsi="Times New Roman" w:cs="Times New Roman"/>
          <w:sz w:val="24"/>
          <w:szCs w:val="24"/>
        </w:rPr>
        <w:t>), male tekstualne datoteke koju posjećena stranica Sustava pohranjuje u Korisnikovo računalo, a u kojoj datoteci se nalaze informacije za podržavanje korištenja web-stranice Sustava. Ti podaci omogućuju učinkovito i za Osobe koje koriste Sustav, pristupačno funkcioniranje Sustava.</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Otkaz i raskid Ugovora o korištenju Sustava</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Članak 10.</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(1) Ugovor o korištenju Sustava se sklapa na neodređeno vrijeme.</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(2) Korisnik, odnosno Ovlaštena osoba Korisnika može otkazati Ugovor korištenju Sustava, bez otkaznog roka, uz uvjete koji su opisani u stavcima 3. - 6. ovog članka.</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lastRenderedPageBreak/>
        <w:t>(3) Ako Korisnik nije sklopio ugovor o dodjeli bespovratnih sredstava, Ugovor o korištenju Sustava može otkazati ukidanjem korisničkog računa kroz Sustav. Ukidanjem korisničkog računa Ugovor o korištenju Sustava se smatra otkazanim.</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(4) Ako je Korisnik kroz Sustav podnio projektni prijedlog/projektne prijedloge, Ugovor o korištenju Sustava može otkazati jedino uz prethodno povlačenje svih svojih projektnih prijedloga iz postupka dodjele bespovratnih sredstava, nakon čega ukida korisnički račun, sve kroz Sustav. Povlačenjem projektnog prijedloga/projektnih prijedloga i ukidanjem korisničkog računa Ugovor o korištenju Sustava se smatra otkazanim.</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 xml:space="preserve">(5) Otkazom Ugovora o korištenju Sustava smatra se da Korisnik povlači i sve zahtjeve za pojašnjenima, prijedloge i upite (na koja još nije dobio odgovor), a koje je putem Sustava uputio Upravljačkom i/ili Posredničkim tijelima. </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(6) Ako je Korisnik sklopio ugovor o dodjeli bespovratnih sredstava, Ugovor o korištenju Sustava se može otkazati tek nakon ispunjenja svih obveza iz ugovora o dodjeli bespovratnih sredstava.</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(7) Vlasnik Sustava može, bez prethodne obavijesti otkazati Ugovor o korištenju Sustava, ako funkcionalnosti Sustava, zbog tehničkih ili drugih razloga, više ne omogućuju efikasnu komunikaciju između strana Ugovora o korištenju Sustava. U tom slučaju Vlasnik Sustava odmah, putem Sustava ili na drugi odgovarajući način obavještava Korisnika o daljnjim načinima komunikacije. Ugovor o korištenju sustava se smatra otkazanim dostavom Korisniku, odnosno Ovlaštenoj osobi Korisnika obavijesti o njegovu otkazu.</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 xml:space="preserve">(8) Vlasnik Sustava može, bez prethodne obavijesti raskinuti Ugovor o korištenju Sustava i onemogućiti daljnje korištenje Sustava ako Korisnik, Ovlaštena osoba Korisnika, Povezana osoba Korisnika, ili treća osoba korištenjem vjerodajnica NIAS-a i/ili jednokratnog aktivacijskog koda Korisnika, Ovlaštenih osoba Korisnika ili Povezanih osoba Korisnika, Sustav ne koristi u skladu s ovim Općim uvjetima ili ga zloupotrebljava (npr. neosnovano ga zagušuje podacima – </w:t>
      </w:r>
      <w:proofErr w:type="spellStart"/>
      <w:r w:rsidRPr="00161D15">
        <w:rPr>
          <w:rFonts w:ascii="Times New Roman" w:hAnsi="Times New Roman" w:cs="Times New Roman"/>
          <w:sz w:val="24"/>
          <w:szCs w:val="24"/>
        </w:rPr>
        <w:t>spam</w:t>
      </w:r>
      <w:proofErr w:type="spellEnd"/>
      <w:r w:rsidRPr="00161D15">
        <w:rPr>
          <w:rFonts w:ascii="Times New Roman" w:hAnsi="Times New Roman" w:cs="Times New Roman"/>
          <w:sz w:val="24"/>
          <w:szCs w:val="24"/>
        </w:rPr>
        <w:t>, u Sustav unosi štetne i zlonamjerne datoteke – virusi i sl.). Ugovor o korištenju Sustava raskida se dostavom obavijesti o raskidu Ugovora Korisniku.</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(9) Raskid Ugovora o korištenju Sustava u skladu sa stavkom 8. ovoga članka, za posljedicu može imati i raskid ugovora o dodjeli bespovratnih sredstava.</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 xml:space="preserve">(10) Raskid pojedinog ugovora o dodjeli bespovratnih sredstava ne stavlja izvan snage Ugovor o korištenju Sustava. </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(11) Vlasnik Sustava omogućuje Korisniku Sustava korištenje Sustava, uvidom u sadržaj (prava čitanja podataka) Sustava u odnosu na konkretni ugovor o dodjeli bespovratnih sredstava, najmanje pet godina nakon završnog plaćanja korisniku bespovratnih sredstava u okviru tog ugovora.</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 xml:space="preserve">(12) Vlasnik Sustava omogućuje Korisniku u odnosu na kojega je Ugovor o korištenju Sustava otkazan ili raskinut korištenje Sustava, uvidom u sadržaj Sustava (prava čitanja podataka) u odnosu na konkretni ugovor o dodjeli bespovratnih sredstava, najmanje pet godina nakon </w:t>
      </w:r>
      <w:r w:rsidRPr="00161D15">
        <w:rPr>
          <w:rFonts w:ascii="Times New Roman" w:hAnsi="Times New Roman" w:cs="Times New Roman"/>
          <w:sz w:val="24"/>
          <w:szCs w:val="24"/>
        </w:rPr>
        <w:lastRenderedPageBreak/>
        <w:t>završnog plaćanja korisniku bespovratnih sredstava u okviru tog ugovora. Navedeno se ne odnosi na situacije raskida ugovora zbog okolnosti opisanih u stavku 8. ovoga članka.</w:t>
      </w:r>
    </w:p>
    <w:p w:rsidR="00161D15" w:rsidRPr="00161D15" w:rsidRDefault="00161D15" w:rsidP="00161D15">
      <w:pPr>
        <w:spacing w:line="276" w:lineRule="auto"/>
        <w:jc w:val="both"/>
        <w:rPr>
          <w:rFonts w:ascii="Times New Roman" w:hAnsi="Times New Roman" w:cs="Times New Roman"/>
          <w:sz w:val="24"/>
          <w:szCs w:val="24"/>
        </w:rPr>
      </w:pPr>
    </w:p>
    <w:p w:rsidR="00161D15" w:rsidRPr="00161D15" w:rsidRDefault="00161D15" w:rsidP="00161D15">
      <w:pPr>
        <w:spacing w:line="276" w:lineRule="auto"/>
        <w:jc w:val="center"/>
        <w:rPr>
          <w:rFonts w:ascii="Times New Roman" w:hAnsi="Times New Roman" w:cs="Times New Roman"/>
          <w:b/>
          <w:sz w:val="24"/>
          <w:szCs w:val="24"/>
        </w:rPr>
      </w:pPr>
      <w:r w:rsidRPr="00161D15">
        <w:rPr>
          <w:rFonts w:ascii="Times New Roman" w:hAnsi="Times New Roman" w:cs="Times New Roman"/>
          <w:b/>
          <w:sz w:val="24"/>
          <w:szCs w:val="24"/>
        </w:rPr>
        <w:t>Završne odredbe</w:t>
      </w:r>
    </w:p>
    <w:p w:rsidR="00161D15" w:rsidRPr="00161D15" w:rsidRDefault="00161D15" w:rsidP="00161D15">
      <w:pPr>
        <w:spacing w:line="276" w:lineRule="auto"/>
        <w:jc w:val="center"/>
        <w:rPr>
          <w:rFonts w:ascii="Times New Roman" w:hAnsi="Times New Roman" w:cs="Times New Roman"/>
          <w:b/>
          <w:sz w:val="24"/>
          <w:szCs w:val="24"/>
        </w:rPr>
      </w:pPr>
      <w:r w:rsidRPr="00161D15">
        <w:rPr>
          <w:rFonts w:ascii="Times New Roman" w:hAnsi="Times New Roman" w:cs="Times New Roman"/>
          <w:b/>
          <w:sz w:val="24"/>
          <w:szCs w:val="24"/>
        </w:rPr>
        <w:t>Članak 11.</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(1)</w:t>
      </w:r>
      <w:r w:rsidRPr="00161D15">
        <w:rPr>
          <w:rFonts w:ascii="Times New Roman" w:hAnsi="Times New Roman" w:cs="Times New Roman"/>
          <w:sz w:val="24"/>
          <w:szCs w:val="24"/>
        </w:rPr>
        <w:tab/>
        <w:t xml:space="preserve"> Ovi Opći uvjeti objavit će se na javnom Portalu te stupaju na snagu danom objave.</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(2) Vlasnik Sustava zadržava pravo naknadnih izmjena i dopuna ovih Općih uvjeta, o čemu je dužan obavijestiti Korisnika putem Sustava i dostaviti mu izmijenjene i/ili dopunjene Opće uvjete na obvezan prihvat, u svrhu daljnjeg korištenja Sustava.</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(3) Na pitanja u vezi primjene ovih Općih uvjeta i Ugovora o korištenju Sustava primjenjuje se pravo Republike Hrvatske.</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(4) Jezik Ugovora o korištenju Sustava je hrvatski jezik i sva komunikacija ugovornih strana se odvija na hrvatskom jeziku.</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(5) U slučaju spora vezi primjene ovih Općih uvjeta i Ugovora o korištenju Sustava mjesno nadležan je stvarno nadležan sud u Zagrebu.</w:t>
      </w:r>
    </w:p>
    <w:p w:rsidR="00161D15" w:rsidRPr="00161D15" w:rsidRDefault="00161D15" w:rsidP="00161D15">
      <w:pPr>
        <w:spacing w:line="276" w:lineRule="auto"/>
        <w:jc w:val="both"/>
        <w:rPr>
          <w:rFonts w:ascii="Times New Roman" w:hAnsi="Times New Roman" w:cs="Times New Roman"/>
          <w:sz w:val="24"/>
          <w:szCs w:val="24"/>
        </w:rPr>
      </w:pPr>
    </w:p>
    <w:p w:rsidR="00161D15" w:rsidRPr="00161D15" w:rsidRDefault="00161D15" w:rsidP="00161D15">
      <w:pPr>
        <w:spacing w:line="276" w:lineRule="auto"/>
        <w:jc w:val="center"/>
        <w:rPr>
          <w:rFonts w:ascii="Times New Roman" w:hAnsi="Times New Roman" w:cs="Times New Roman"/>
          <w:b/>
          <w:sz w:val="24"/>
          <w:szCs w:val="24"/>
        </w:rPr>
      </w:pPr>
      <w:r w:rsidRPr="00161D15">
        <w:rPr>
          <w:rFonts w:ascii="Times New Roman" w:hAnsi="Times New Roman" w:cs="Times New Roman"/>
          <w:b/>
          <w:sz w:val="24"/>
          <w:szCs w:val="24"/>
        </w:rPr>
        <w:t>Prilog</w:t>
      </w:r>
    </w:p>
    <w:p w:rsidR="00161D15" w:rsidRPr="00161D15" w:rsidRDefault="00161D15" w:rsidP="00161D15">
      <w:pPr>
        <w:spacing w:line="276" w:lineRule="auto"/>
        <w:jc w:val="center"/>
        <w:rPr>
          <w:rFonts w:ascii="Times New Roman" w:hAnsi="Times New Roman" w:cs="Times New Roman"/>
          <w:b/>
          <w:sz w:val="24"/>
          <w:szCs w:val="24"/>
        </w:rPr>
      </w:pPr>
      <w:bookmarkStart w:id="1" w:name="_Toc464135671"/>
      <w:r w:rsidRPr="00161D15">
        <w:rPr>
          <w:rFonts w:ascii="Times New Roman" w:hAnsi="Times New Roman" w:cs="Times New Roman"/>
          <w:b/>
          <w:sz w:val="24"/>
          <w:szCs w:val="24"/>
        </w:rPr>
        <w:t xml:space="preserve">Prava </w:t>
      </w:r>
      <w:bookmarkStart w:id="2" w:name="_Izrada_i_podnošenje"/>
      <w:bookmarkEnd w:id="1"/>
      <w:bookmarkEnd w:id="2"/>
      <w:r w:rsidRPr="00161D15">
        <w:rPr>
          <w:rFonts w:ascii="Times New Roman" w:hAnsi="Times New Roman" w:cs="Times New Roman"/>
          <w:b/>
          <w:sz w:val="24"/>
          <w:szCs w:val="24"/>
        </w:rPr>
        <w:t>Ovlaštenih osoba Korisnika i Povezanih osoba Korisnika u Sustavu</w:t>
      </w:r>
    </w:p>
    <w:tbl>
      <w:tblPr>
        <w:tblStyle w:val="Reetkatablice"/>
        <w:tblW w:w="9351" w:type="dxa"/>
        <w:tblInd w:w="0" w:type="dxa"/>
        <w:tblLook w:val="04A0" w:firstRow="1" w:lastRow="0" w:firstColumn="1" w:lastColumn="0" w:noHBand="0" w:noVBand="1"/>
      </w:tblPr>
      <w:tblGrid>
        <w:gridCol w:w="1860"/>
        <w:gridCol w:w="1974"/>
        <w:gridCol w:w="1336"/>
        <w:gridCol w:w="1390"/>
        <w:gridCol w:w="1336"/>
        <w:gridCol w:w="1455"/>
      </w:tblGrid>
      <w:tr w:rsidR="00161D15" w:rsidRPr="00161D15" w:rsidTr="004C34E6">
        <w:tc>
          <w:tcPr>
            <w:tcW w:w="1860" w:type="dxa"/>
            <w:vMerge w:val="restart"/>
            <w:hideMark/>
          </w:tcPr>
          <w:p w:rsidR="00161D15" w:rsidRPr="00161D15" w:rsidRDefault="00161D15" w:rsidP="00161D15">
            <w:pPr>
              <w:spacing w:after="40" w:line="276" w:lineRule="auto"/>
              <w:jc w:val="both"/>
              <w:rPr>
                <w:rFonts w:ascii="Times New Roman" w:eastAsiaTheme="minorHAnsi" w:hAnsi="Times New Roman"/>
                <w:b/>
                <w:sz w:val="24"/>
                <w:szCs w:val="24"/>
              </w:rPr>
            </w:pPr>
            <w:r w:rsidRPr="00161D15">
              <w:rPr>
                <w:rFonts w:ascii="Times New Roman" w:eastAsiaTheme="minorHAnsi" w:hAnsi="Times New Roman"/>
                <w:b/>
                <w:sz w:val="24"/>
                <w:szCs w:val="24"/>
              </w:rPr>
              <w:t>Proces</w:t>
            </w:r>
          </w:p>
        </w:tc>
        <w:tc>
          <w:tcPr>
            <w:tcW w:w="1974" w:type="dxa"/>
            <w:vMerge w:val="restart"/>
            <w:hideMark/>
          </w:tcPr>
          <w:p w:rsidR="00161D15" w:rsidRPr="00161D15" w:rsidRDefault="00161D15" w:rsidP="00161D15">
            <w:pPr>
              <w:spacing w:after="40" w:line="276" w:lineRule="auto"/>
              <w:jc w:val="both"/>
              <w:rPr>
                <w:rFonts w:ascii="Times New Roman" w:eastAsiaTheme="minorHAnsi" w:hAnsi="Times New Roman"/>
                <w:b/>
                <w:sz w:val="24"/>
                <w:szCs w:val="24"/>
              </w:rPr>
            </w:pPr>
            <w:r w:rsidRPr="00161D15">
              <w:rPr>
                <w:rFonts w:ascii="Times New Roman" w:eastAsiaTheme="minorHAnsi" w:hAnsi="Times New Roman"/>
                <w:b/>
                <w:sz w:val="24"/>
                <w:szCs w:val="24"/>
              </w:rPr>
              <w:t>Vrsta dokumenta/ obrasca</w:t>
            </w:r>
          </w:p>
        </w:tc>
        <w:tc>
          <w:tcPr>
            <w:tcW w:w="2726" w:type="dxa"/>
            <w:gridSpan w:val="2"/>
            <w:hideMark/>
          </w:tcPr>
          <w:p w:rsidR="00161D15" w:rsidRPr="00161D15" w:rsidRDefault="00161D15" w:rsidP="00161D15">
            <w:pPr>
              <w:spacing w:after="40" w:line="276" w:lineRule="auto"/>
              <w:jc w:val="both"/>
              <w:rPr>
                <w:rFonts w:ascii="Times New Roman" w:eastAsiaTheme="minorHAnsi" w:hAnsi="Times New Roman"/>
                <w:b/>
                <w:sz w:val="24"/>
                <w:szCs w:val="24"/>
              </w:rPr>
            </w:pPr>
            <w:r w:rsidRPr="00161D15">
              <w:rPr>
                <w:rFonts w:ascii="Times New Roman" w:eastAsiaTheme="minorHAnsi" w:hAnsi="Times New Roman"/>
                <w:b/>
                <w:sz w:val="24"/>
                <w:szCs w:val="24"/>
              </w:rPr>
              <w:t>Ovlaštena osoba</w:t>
            </w:r>
          </w:p>
        </w:tc>
        <w:tc>
          <w:tcPr>
            <w:tcW w:w="2791" w:type="dxa"/>
            <w:gridSpan w:val="2"/>
            <w:hideMark/>
          </w:tcPr>
          <w:p w:rsidR="00161D15" w:rsidRPr="00161D15" w:rsidRDefault="00161D15" w:rsidP="00161D15">
            <w:pPr>
              <w:spacing w:after="40" w:line="276" w:lineRule="auto"/>
              <w:jc w:val="both"/>
              <w:rPr>
                <w:rFonts w:ascii="Times New Roman" w:eastAsiaTheme="minorHAnsi" w:hAnsi="Times New Roman"/>
                <w:b/>
                <w:sz w:val="24"/>
                <w:szCs w:val="24"/>
              </w:rPr>
            </w:pPr>
            <w:r w:rsidRPr="00161D15">
              <w:rPr>
                <w:rFonts w:ascii="Times New Roman" w:eastAsiaTheme="minorHAnsi" w:hAnsi="Times New Roman"/>
                <w:b/>
                <w:sz w:val="24"/>
                <w:szCs w:val="24"/>
              </w:rPr>
              <w:t>Povezana osoba</w:t>
            </w:r>
          </w:p>
        </w:tc>
      </w:tr>
      <w:tr w:rsidR="00161D15" w:rsidRPr="00161D15" w:rsidTr="004C34E6">
        <w:tc>
          <w:tcPr>
            <w:tcW w:w="1860" w:type="dxa"/>
            <w:vMerge/>
            <w:hideMark/>
          </w:tcPr>
          <w:p w:rsidR="00161D15" w:rsidRPr="00161D15" w:rsidRDefault="00161D15" w:rsidP="00161D15">
            <w:pPr>
              <w:spacing w:after="40" w:line="276" w:lineRule="auto"/>
              <w:jc w:val="both"/>
              <w:rPr>
                <w:rFonts w:ascii="Times New Roman" w:eastAsiaTheme="minorHAnsi" w:hAnsi="Times New Roman"/>
                <w:b/>
                <w:sz w:val="24"/>
                <w:szCs w:val="24"/>
              </w:rPr>
            </w:pPr>
          </w:p>
        </w:tc>
        <w:tc>
          <w:tcPr>
            <w:tcW w:w="1974" w:type="dxa"/>
            <w:vMerge/>
            <w:hideMark/>
          </w:tcPr>
          <w:p w:rsidR="00161D15" w:rsidRPr="00161D15" w:rsidRDefault="00161D15" w:rsidP="00161D15">
            <w:pPr>
              <w:spacing w:after="40" w:line="276" w:lineRule="auto"/>
              <w:jc w:val="both"/>
              <w:rPr>
                <w:rFonts w:ascii="Times New Roman" w:eastAsiaTheme="minorHAnsi" w:hAnsi="Times New Roman"/>
                <w:b/>
                <w:sz w:val="24"/>
                <w:szCs w:val="24"/>
              </w:rPr>
            </w:pPr>
          </w:p>
        </w:tc>
        <w:tc>
          <w:tcPr>
            <w:tcW w:w="1336" w:type="dxa"/>
            <w:hideMark/>
          </w:tcPr>
          <w:p w:rsidR="00161D15" w:rsidRPr="00161D15" w:rsidRDefault="00161D15" w:rsidP="00161D15">
            <w:pPr>
              <w:spacing w:after="40" w:line="276" w:lineRule="auto"/>
              <w:jc w:val="both"/>
              <w:rPr>
                <w:rFonts w:ascii="Times New Roman" w:eastAsiaTheme="minorHAnsi" w:hAnsi="Times New Roman"/>
                <w:b/>
                <w:sz w:val="24"/>
                <w:szCs w:val="24"/>
              </w:rPr>
            </w:pPr>
            <w:r w:rsidRPr="00161D15">
              <w:rPr>
                <w:rFonts w:ascii="Times New Roman" w:hAnsi="Times New Roman"/>
                <w:b/>
                <w:sz w:val="24"/>
                <w:szCs w:val="24"/>
              </w:rPr>
              <w:t>Izrada</w:t>
            </w:r>
            <w:r w:rsidRPr="00161D15">
              <w:rPr>
                <w:rFonts w:ascii="Times New Roman" w:eastAsiaTheme="minorHAnsi" w:hAnsi="Times New Roman"/>
                <w:b/>
                <w:sz w:val="24"/>
                <w:szCs w:val="24"/>
              </w:rPr>
              <w:t>/</w:t>
            </w:r>
          </w:p>
          <w:p w:rsidR="00161D15" w:rsidRPr="00161D15" w:rsidRDefault="00161D15" w:rsidP="00161D15">
            <w:pPr>
              <w:spacing w:after="40" w:line="276" w:lineRule="auto"/>
              <w:jc w:val="both"/>
              <w:rPr>
                <w:rFonts w:ascii="Times New Roman" w:eastAsiaTheme="minorHAnsi" w:hAnsi="Times New Roman"/>
                <w:b/>
                <w:sz w:val="24"/>
                <w:szCs w:val="24"/>
              </w:rPr>
            </w:pPr>
            <w:r w:rsidRPr="00161D15">
              <w:rPr>
                <w:rFonts w:ascii="Times New Roman" w:eastAsiaTheme="minorHAnsi" w:hAnsi="Times New Roman"/>
                <w:b/>
                <w:sz w:val="24"/>
                <w:szCs w:val="24"/>
              </w:rPr>
              <w:t>obrada u Sustavu</w:t>
            </w:r>
          </w:p>
        </w:tc>
        <w:tc>
          <w:tcPr>
            <w:tcW w:w="1390" w:type="dxa"/>
            <w:hideMark/>
          </w:tcPr>
          <w:p w:rsidR="00161D15" w:rsidRPr="00161D15" w:rsidRDefault="00161D15" w:rsidP="00161D15">
            <w:pPr>
              <w:spacing w:after="40" w:line="276" w:lineRule="auto"/>
              <w:jc w:val="both"/>
              <w:rPr>
                <w:rFonts w:ascii="Times New Roman" w:eastAsiaTheme="minorHAnsi" w:hAnsi="Times New Roman"/>
                <w:b/>
                <w:sz w:val="24"/>
                <w:szCs w:val="24"/>
              </w:rPr>
            </w:pPr>
            <w:r w:rsidRPr="00161D15">
              <w:rPr>
                <w:rFonts w:ascii="Times New Roman" w:eastAsiaTheme="minorHAnsi" w:hAnsi="Times New Roman"/>
                <w:b/>
                <w:sz w:val="24"/>
                <w:szCs w:val="24"/>
              </w:rPr>
              <w:t>Podnošenje</w:t>
            </w:r>
          </w:p>
          <w:p w:rsidR="00161D15" w:rsidRPr="00161D15" w:rsidRDefault="00161D15" w:rsidP="00161D15">
            <w:pPr>
              <w:spacing w:after="40" w:line="276" w:lineRule="auto"/>
              <w:jc w:val="both"/>
              <w:rPr>
                <w:rFonts w:ascii="Times New Roman" w:eastAsiaTheme="minorHAnsi" w:hAnsi="Times New Roman"/>
                <w:b/>
                <w:sz w:val="24"/>
                <w:szCs w:val="24"/>
              </w:rPr>
            </w:pPr>
            <w:r w:rsidRPr="00161D15">
              <w:rPr>
                <w:rFonts w:ascii="Times New Roman" w:eastAsiaTheme="minorHAnsi" w:hAnsi="Times New Roman"/>
                <w:b/>
                <w:sz w:val="24"/>
                <w:szCs w:val="24"/>
              </w:rPr>
              <w:t>u</w:t>
            </w:r>
          </w:p>
          <w:p w:rsidR="00161D15" w:rsidRPr="00161D15" w:rsidRDefault="00161D15" w:rsidP="00161D15">
            <w:pPr>
              <w:spacing w:after="40" w:line="276" w:lineRule="auto"/>
              <w:jc w:val="both"/>
              <w:rPr>
                <w:rFonts w:ascii="Times New Roman" w:eastAsiaTheme="minorHAnsi" w:hAnsi="Times New Roman"/>
                <w:b/>
                <w:sz w:val="24"/>
                <w:szCs w:val="24"/>
              </w:rPr>
            </w:pPr>
            <w:r w:rsidRPr="00161D15">
              <w:rPr>
                <w:rFonts w:ascii="Times New Roman" w:eastAsiaTheme="minorHAnsi" w:hAnsi="Times New Roman"/>
                <w:b/>
                <w:sz w:val="24"/>
                <w:szCs w:val="24"/>
              </w:rPr>
              <w:t>Sustav</w:t>
            </w:r>
          </w:p>
        </w:tc>
        <w:tc>
          <w:tcPr>
            <w:tcW w:w="1336" w:type="dxa"/>
            <w:hideMark/>
          </w:tcPr>
          <w:p w:rsidR="00161D15" w:rsidRPr="00161D15" w:rsidRDefault="00161D15" w:rsidP="00161D15">
            <w:pPr>
              <w:spacing w:after="40" w:line="276" w:lineRule="auto"/>
              <w:jc w:val="both"/>
              <w:rPr>
                <w:rFonts w:ascii="Times New Roman" w:eastAsiaTheme="minorHAnsi" w:hAnsi="Times New Roman"/>
                <w:b/>
                <w:sz w:val="24"/>
                <w:szCs w:val="24"/>
              </w:rPr>
            </w:pPr>
            <w:r w:rsidRPr="00161D15">
              <w:rPr>
                <w:rFonts w:ascii="Times New Roman" w:eastAsiaTheme="minorHAnsi" w:hAnsi="Times New Roman"/>
                <w:b/>
                <w:sz w:val="24"/>
                <w:szCs w:val="24"/>
              </w:rPr>
              <w:t>Izrada/</w:t>
            </w:r>
          </w:p>
          <w:p w:rsidR="00161D15" w:rsidRPr="00161D15" w:rsidRDefault="00161D15" w:rsidP="00161D15">
            <w:pPr>
              <w:spacing w:after="40" w:line="276" w:lineRule="auto"/>
              <w:jc w:val="both"/>
              <w:rPr>
                <w:rFonts w:ascii="Times New Roman" w:eastAsiaTheme="minorHAnsi" w:hAnsi="Times New Roman"/>
                <w:b/>
                <w:sz w:val="24"/>
                <w:szCs w:val="24"/>
              </w:rPr>
            </w:pPr>
            <w:r w:rsidRPr="00161D15">
              <w:rPr>
                <w:rFonts w:ascii="Times New Roman" w:eastAsiaTheme="minorHAnsi" w:hAnsi="Times New Roman"/>
                <w:b/>
                <w:sz w:val="24"/>
                <w:szCs w:val="24"/>
              </w:rPr>
              <w:t>obrada u Sustavu</w:t>
            </w:r>
          </w:p>
        </w:tc>
        <w:tc>
          <w:tcPr>
            <w:tcW w:w="1455" w:type="dxa"/>
            <w:hideMark/>
          </w:tcPr>
          <w:p w:rsidR="00161D15" w:rsidRPr="00161D15" w:rsidRDefault="00161D15" w:rsidP="00161D15">
            <w:pPr>
              <w:spacing w:after="40" w:line="276" w:lineRule="auto"/>
              <w:jc w:val="both"/>
              <w:rPr>
                <w:rFonts w:ascii="Times New Roman" w:eastAsiaTheme="minorHAnsi" w:hAnsi="Times New Roman"/>
                <w:b/>
                <w:sz w:val="24"/>
                <w:szCs w:val="24"/>
              </w:rPr>
            </w:pPr>
            <w:r w:rsidRPr="00161D15">
              <w:rPr>
                <w:rFonts w:ascii="Times New Roman" w:eastAsiaTheme="minorHAnsi" w:hAnsi="Times New Roman"/>
                <w:b/>
                <w:sz w:val="24"/>
                <w:szCs w:val="24"/>
              </w:rPr>
              <w:t xml:space="preserve">Podnošenje u </w:t>
            </w:r>
          </w:p>
          <w:p w:rsidR="00161D15" w:rsidRPr="00161D15" w:rsidRDefault="00161D15" w:rsidP="00161D15">
            <w:pPr>
              <w:spacing w:after="40" w:line="276" w:lineRule="auto"/>
              <w:jc w:val="both"/>
              <w:rPr>
                <w:rFonts w:ascii="Times New Roman" w:eastAsiaTheme="minorHAnsi" w:hAnsi="Times New Roman"/>
                <w:b/>
                <w:sz w:val="24"/>
                <w:szCs w:val="24"/>
              </w:rPr>
            </w:pPr>
            <w:r w:rsidRPr="00161D15">
              <w:rPr>
                <w:rFonts w:ascii="Times New Roman" w:eastAsiaTheme="minorHAnsi" w:hAnsi="Times New Roman"/>
                <w:b/>
                <w:sz w:val="24"/>
                <w:szCs w:val="24"/>
              </w:rPr>
              <w:t>Sustav</w:t>
            </w:r>
          </w:p>
        </w:tc>
      </w:tr>
      <w:tr w:rsidR="00161D15" w:rsidRPr="00161D15" w:rsidTr="004C34E6">
        <w:tc>
          <w:tcPr>
            <w:tcW w:w="9351" w:type="dxa"/>
            <w:gridSpan w:val="6"/>
            <w:hideMark/>
          </w:tcPr>
          <w:p w:rsidR="00161D15" w:rsidRPr="00161D15" w:rsidRDefault="00161D15" w:rsidP="00161D15">
            <w:pPr>
              <w:spacing w:after="40" w:line="276" w:lineRule="auto"/>
              <w:jc w:val="both"/>
              <w:rPr>
                <w:rFonts w:ascii="Times New Roman" w:eastAsiaTheme="minorHAnsi" w:hAnsi="Times New Roman"/>
                <w:sz w:val="24"/>
                <w:szCs w:val="24"/>
              </w:rPr>
            </w:pPr>
          </w:p>
          <w:p w:rsidR="00161D15" w:rsidRPr="00161D15" w:rsidRDefault="00161D15" w:rsidP="00161D15">
            <w:pPr>
              <w:spacing w:after="40" w:line="276" w:lineRule="auto"/>
              <w:jc w:val="both"/>
              <w:rPr>
                <w:rFonts w:ascii="Times New Roman" w:eastAsiaTheme="minorHAnsi" w:hAnsi="Times New Roman"/>
                <w:b/>
                <w:sz w:val="24"/>
                <w:szCs w:val="24"/>
              </w:rPr>
            </w:pPr>
            <w:r w:rsidRPr="00161D15">
              <w:rPr>
                <w:rFonts w:ascii="Times New Roman" w:eastAsiaTheme="minorHAnsi" w:hAnsi="Times New Roman"/>
                <w:b/>
                <w:sz w:val="24"/>
                <w:szCs w:val="24"/>
              </w:rPr>
              <w:t>Prijava, odabir i ugovaranje projektnih prijedloga</w:t>
            </w:r>
          </w:p>
          <w:p w:rsidR="00161D15" w:rsidRPr="00161D15" w:rsidRDefault="00161D15" w:rsidP="00161D15">
            <w:pPr>
              <w:spacing w:after="40" w:line="276" w:lineRule="auto"/>
              <w:jc w:val="both"/>
              <w:rPr>
                <w:rFonts w:ascii="Times New Roman" w:eastAsiaTheme="minorHAnsi" w:hAnsi="Times New Roman"/>
                <w:sz w:val="24"/>
                <w:szCs w:val="24"/>
              </w:rPr>
            </w:pPr>
          </w:p>
        </w:tc>
      </w:tr>
      <w:tr w:rsidR="00161D15" w:rsidRPr="00161D15" w:rsidTr="004C34E6">
        <w:tc>
          <w:tcPr>
            <w:tcW w:w="1860" w:type="dxa"/>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Popunjavanje prijave projektnog prijedloga</w:t>
            </w:r>
          </w:p>
        </w:tc>
        <w:tc>
          <w:tcPr>
            <w:tcW w:w="1974"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Projektni prijedlog</w:t>
            </w:r>
          </w:p>
        </w:tc>
        <w:tc>
          <w:tcPr>
            <w:tcW w:w="1336"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c>
          <w:tcPr>
            <w:tcW w:w="1390"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c>
          <w:tcPr>
            <w:tcW w:w="1336"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c>
          <w:tcPr>
            <w:tcW w:w="1455"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r>
      <w:tr w:rsidR="00161D15" w:rsidRPr="00161D15" w:rsidTr="004C34E6">
        <w:tc>
          <w:tcPr>
            <w:tcW w:w="1860" w:type="dxa"/>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Pojašnjenje projektnog prijedloga</w:t>
            </w:r>
          </w:p>
        </w:tc>
        <w:tc>
          <w:tcPr>
            <w:tcW w:w="1974"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Pojašnjenje projektnog prijedloga</w:t>
            </w:r>
          </w:p>
        </w:tc>
        <w:tc>
          <w:tcPr>
            <w:tcW w:w="1336"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c>
          <w:tcPr>
            <w:tcW w:w="1390"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c>
          <w:tcPr>
            <w:tcW w:w="1336"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c>
          <w:tcPr>
            <w:tcW w:w="1455"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r>
      <w:tr w:rsidR="00161D15" w:rsidRPr="00161D15" w:rsidTr="004C34E6">
        <w:tc>
          <w:tcPr>
            <w:tcW w:w="1860" w:type="dxa"/>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Potpisivanje ugovora</w:t>
            </w:r>
          </w:p>
        </w:tc>
        <w:tc>
          <w:tcPr>
            <w:tcW w:w="1974"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Ugovor o bespovratnim sredstvima</w:t>
            </w:r>
          </w:p>
        </w:tc>
        <w:tc>
          <w:tcPr>
            <w:tcW w:w="1336"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nije primjenjivo</w:t>
            </w:r>
          </w:p>
        </w:tc>
        <w:tc>
          <w:tcPr>
            <w:tcW w:w="1390"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c>
          <w:tcPr>
            <w:tcW w:w="1336" w:type="dxa"/>
            <w:hideMark/>
          </w:tcPr>
          <w:p w:rsidR="00161D15" w:rsidRPr="00161D15" w:rsidRDefault="00161D15" w:rsidP="00161D15">
            <w:pPr>
              <w:tabs>
                <w:tab w:val="left" w:pos="240"/>
                <w:tab w:val="center" w:pos="402"/>
              </w:tabs>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nije primjenjivo</w:t>
            </w:r>
          </w:p>
        </w:tc>
        <w:tc>
          <w:tcPr>
            <w:tcW w:w="1455"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r>
      <w:tr w:rsidR="00161D15" w:rsidRPr="00161D15" w:rsidTr="004C34E6">
        <w:tc>
          <w:tcPr>
            <w:tcW w:w="9351" w:type="dxa"/>
            <w:gridSpan w:val="6"/>
            <w:hideMark/>
          </w:tcPr>
          <w:p w:rsidR="00161D15" w:rsidRPr="00161D15" w:rsidRDefault="00161D15" w:rsidP="00161D15">
            <w:pPr>
              <w:spacing w:after="40" w:line="276" w:lineRule="auto"/>
              <w:jc w:val="both"/>
              <w:rPr>
                <w:rFonts w:ascii="Times New Roman" w:eastAsiaTheme="minorHAnsi" w:hAnsi="Times New Roman"/>
                <w:sz w:val="24"/>
                <w:szCs w:val="24"/>
              </w:rPr>
            </w:pPr>
          </w:p>
          <w:p w:rsidR="00161D15" w:rsidRPr="00161D15" w:rsidRDefault="00161D15" w:rsidP="00161D15">
            <w:pPr>
              <w:spacing w:after="40" w:line="276" w:lineRule="auto"/>
              <w:jc w:val="both"/>
              <w:rPr>
                <w:rFonts w:ascii="Times New Roman" w:eastAsiaTheme="minorHAnsi" w:hAnsi="Times New Roman"/>
                <w:b/>
                <w:sz w:val="24"/>
                <w:szCs w:val="24"/>
              </w:rPr>
            </w:pPr>
            <w:r w:rsidRPr="00161D15">
              <w:rPr>
                <w:rFonts w:ascii="Times New Roman" w:eastAsiaTheme="minorHAnsi" w:hAnsi="Times New Roman"/>
                <w:b/>
                <w:sz w:val="24"/>
                <w:szCs w:val="24"/>
              </w:rPr>
              <w:lastRenderedPageBreak/>
              <w:t>Provedba, izvještavanje i praćenje</w:t>
            </w:r>
          </w:p>
          <w:p w:rsidR="00161D15" w:rsidRPr="00161D15" w:rsidRDefault="00161D15" w:rsidP="00161D15">
            <w:pPr>
              <w:spacing w:after="40" w:line="276" w:lineRule="auto"/>
              <w:jc w:val="both"/>
              <w:rPr>
                <w:rFonts w:ascii="Times New Roman" w:eastAsiaTheme="minorHAnsi" w:hAnsi="Times New Roman"/>
                <w:sz w:val="24"/>
                <w:szCs w:val="24"/>
              </w:rPr>
            </w:pPr>
          </w:p>
        </w:tc>
      </w:tr>
      <w:tr w:rsidR="00161D15" w:rsidRPr="00161D15" w:rsidTr="004C34E6">
        <w:tc>
          <w:tcPr>
            <w:tcW w:w="1860" w:type="dxa"/>
            <w:vMerge w:val="restart"/>
          </w:tcPr>
          <w:p w:rsidR="00161D15" w:rsidRPr="00161D15" w:rsidRDefault="00161D15" w:rsidP="00161D15">
            <w:pPr>
              <w:spacing w:after="40" w:line="276" w:lineRule="auto"/>
              <w:jc w:val="both"/>
              <w:rPr>
                <w:rFonts w:ascii="Times New Roman" w:hAnsi="Times New Roman"/>
                <w:sz w:val="24"/>
                <w:szCs w:val="24"/>
              </w:rPr>
            </w:pPr>
            <w:r w:rsidRPr="00161D15">
              <w:rPr>
                <w:rFonts w:ascii="Times New Roman" w:hAnsi="Times New Roman"/>
                <w:sz w:val="24"/>
                <w:szCs w:val="24"/>
              </w:rPr>
              <w:lastRenderedPageBreak/>
              <w:t>Komunikacijski modul</w:t>
            </w:r>
          </w:p>
        </w:tc>
        <w:tc>
          <w:tcPr>
            <w:tcW w:w="1974" w:type="dxa"/>
          </w:tcPr>
          <w:p w:rsidR="00161D15" w:rsidRPr="00161D15" w:rsidRDefault="00161D15" w:rsidP="00161D15">
            <w:pPr>
              <w:spacing w:after="40" w:line="276" w:lineRule="auto"/>
              <w:jc w:val="both"/>
              <w:rPr>
                <w:rFonts w:ascii="Times New Roman" w:hAnsi="Times New Roman"/>
                <w:sz w:val="24"/>
                <w:szCs w:val="24"/>
              </w:rPr>
            </w:pPr>
            <w:r w:rsidRPr="00161D15">
              <w:rPr>
                <w:rFonts w:ascii="Times New Roman" w:hAnsi="Times New Roman"/>
                <w:sz w:val="24"/>
                <w:szCs w:val="24"/>
              </w:rPr>
              <w:t>Dostava komunikacije u okviru projekta</w:t>
            </w:r>
          </w:p>
        </w:tc>
        <w:tc>
          <w:tcPr>
            <w:tcW w:w="1336" w:type="dxa"/>
          </w:tcPr>
          <w:p w:rsidR="00161D15" w:rsidRPr="00161D15" w:rsidRDefault="00161D15" w:rsidP="00161D15">
            <w:pPr>
              <w:spacing w:after="40" w:line="276" w:lineRule="auto"/>
              <w:jc w:val="both"/>
              <w:rPr>
                <w:rFonts w:ascii="Times New Roman" w:hAnsi="Times New Roman"/>
                <w:sz w:val="24"/>
                <w:szCs w:val="24"/>
              </w:rPr>
            </w:pPr>
            <w:r w:rsidRPr="00161D15">
              <w:rPr>
                <w:rFonts w:ascii="Times New Roman" w:hAnsi="Times New Roman"/>
                <w:sz w:val="24"/>
                <w:szCs w:val="24"/>
              </w:rPr>
              <w:t>+</w:t>
            </w:r>
          </w:p>
        </w:tc>
        <w:tc>
          <w:tcPr>
            <w:tcW w:w="1390" w:type="dxa"/>
          </w:tcPr>
          <w:p w:rsidR="00161D15" w:rsidRPr="00161D15" w:rsidRDefault="00161D15" w:rsidP="00161D15">
            <w:pPr>
              <w:spacing w:after="40" w:line="276" w:lineRule="auto"/>
              <w:jc w:val="both"/>
              <w:rPr>
                <w:rFonts w:ascii="Times New Roman" w:hAnsi="Times New Roman"/>
                <w:sz w:val="24"/>
                <w:szCs w:val="24"/>
              </w:rPr>
            </w:pPr>
            <w:r w:rsidRPr="00161D15">
              <w:rPr>
                <w:rFonts w:ascii="Times New Roman" w:hAnsi="Times New Roman"/>
                <w:sz w:val="24"/>
                <w:szCs w:val="24"/>
              </w:rPr>
              <w:t>+</w:t>
            </w:r>
          </w:p>
        </w:tc>
        <w:tc>
          <w:tcPr>
            <w:tcW w:w="1336" w:type="dxa"/>
          </w:tcPr>
          <w:p w:rsidR="00161D15" w:rsidRPr="00161D15" w:rsidRDefault="00161D15" w:rsidP="00161D15">
            <w:pPr>
              <w:spacing w:after="40" w:line="276" w:lineRule="auto"/>
              <w:jc w:val="both"/>
              <w:rPr>
                <w:rFonts w:ascii="Times New Roman" w:hAnsi="Times New Roman"/>
                <w:sz w:val="24"/>
                <w:szCs w:val="24"/>
              </w:rPr>
            </w:pPr>
            <w:r w:rsidRPr="00161D15">
              <w:rPr>
                <w:rFonts w:ascii="Times New Roman" w:hAnsi="Times New Roman"/>
                <w:sz w:val="24"/>
                <w:szCs w:val="24"/>
              </w:rPr>
              <w:t>+</w:t>
            </w:r>
          </w:p>
        </w:tc>
        <w:tc>
          <w:tcPr>
            <w:tcW w:w="1455" w:type="dxa"/>
          </w:tcPr>
          <w:p w:rsidR="00161D15" w:rsidRPr="00161D15" w:rsidRDefault="00161D15" w:rsidP="00161D15">
            <w:pPr>
              <w:spacing w:after="40" w:line="276" w:lineRule="auto"/>
              <w:jc w:val="both"/>
              <w:rPr>
                <w:rFonts w:ascii="Times New Roman" w:hAnsi="Times New Roman"/>
                <w:sz w:val="24"/>
                <w:szCs w:val="24"/>
              </w:rPr>
            </w:pPr>
            <w:r w:rsidRPr="00161D15">
              <w:rPr>
                <w:rFonts w:ascii="Times New Roman" w:hAnsi="Times New Roman"/>
                <w:sz w:val="24"/>
                <w:szCs w:val="24"/>
              </w:rPr>
              <w:t>+</w:t>
            </w:r>
          </w:p>
        </w:tc>
      </w:tr>
      <w:tr w:rsidR="00161D15" w:rsidRPr="00161D15" w:rsidTr="004C34E6">
        <w:tc>
          <w:tcPr>
            <w:tcW w:w="1860" w:type="dxa"/>
            <w:vMerge/>
          </w:tcPr>
          <w:p w:rsidR="00161D15" w:rsidRPr="00161D15" w:rsidRDefault="00161D15" w:rsidP="00161D15">
            <w:pPr>
              <w:spacing w:after="40" w:line="276" w:lineRule="auto"/>
              <w:jc w:val="both"/>
              <w:rPr>
                <w:rFonts w:ascii="Times New Roman" w:hAnsi="Times New Roman"/>
                <w:sz w:val="24"/>
                <w:szCs w:val="24"/>
              </w:rPr>
            </w:pPr>
          </w:p>
        </w:tc>
        <w:tc>
          <w:tcPr>
            <w:tcW w:w="1974" w:type="dxa"/>
          </w:tcPr>
          <w:p w:rsidR="00161D15" w:rsidRPr="00161D15" w:rsidRDefault="00161D15" w:rsidP="00161D15">
            <w:pPr>
              <w:spacing w:after="40" w:line="276" w:lineRule="auto"/>
              <w:jc w:val="both"/>
              <w:rPr>
                <w:rFonts w:ascii="Times New Roman" w:hAnsi="Times New Roman"/>
                <w:sz w:val="24"/>
                <w:szCs w:val="24"/>
              </w:rPr>
            </w:pPr>
            <w:r w:rsidRPr="00161D15">
              <w:rPr>
                <w:rFonts w:ascii="Times New Roman" w:hAnsi="Times New Roman"/>
                <w:sz w:val="24"/>
                <w:szCs w:val="24"/>
              </w:rPr>
              <w:t>Čitanje komunikacije u okviru projekta</w:t>
            </w:r>
          </w:p>
        </w:tc>
        <w:tc>
          <w:tcPr>
            <w:tcW w:w="1336" w:type="dxa"/>
          </w:tcPr>
          <w:p w:rsidR="00161D15" w:rsidRPr="00161D15" w:rsidRDefault="00161D15" w:rsidP="00161D15">
            <w:pPr>
              <w:spacing w:after="40" w:line="276" w:lineRule="auto"/>
              <w:jc w:val="both"/>
              <w:rPr>
                <w:rFonts w:ascii="Times New Roman" w:hAnsi="Times New Roman"/>
                <w:sz w:val="24"/>
                <w:szCs w:val="24"/>
              </w:rPr>
            </w:pPr>
            <w:r w:rsidRPr="00161D15">
              <w:rPr>
                <w:rFonts w:ascii="Times New Roman" w:eastAsiaTheme="minorHAnsi" w:hAnsi="Times New Roman"/>
                <w:sz w:val="24"/>
                <w:szCs w:val="24"/>
              </w:rPr>
              <w:t>nije primjenjivo</w:t>
            </w:r>
          </w:p>
        </w:tc>
        <w:tc>
          <w:tcPr>
            <w:tcW w:w="1390" w:type="dxa"/>
          </w:tcPr>
          <w:p w:rsidR="00161D15" w:rsidRPr="00161D15" w:rsidRDefault="00161D15" w:rsidP="00161D15">
            <w:pPr>
              <w:spacing w:after="40" w:line="276" w:lineRule="auto"/>
              <w:jc w:val="both"/>
              <w:rPr>
                <w:rFonts w:ascii="Times New Roman" w:hAnsi="Times New Roman"/>
                <w:sz w:val="24"/>
                <w:szCs w:val="24"/>
              </w:rPr>
            </w:pPr>
            <w:r w:rsidRPr="00161D15">
              <w:rPr>
                <w:rFonts w:ascii="Times New Roman" w:hAnsi="Times New Roman"/>
                <w:sz w:val="24"/>
                <w:szCs w:val="24"/>
              </w:rPr>
              <w:t>+</w:t>
            </w:r>
          </w:p>
        </w:tc>
        <w:tc>
          <w:tcPr>
            <w:tcW w:w="1336" w:type="dxa"/>
          </w:tcPr>
          <w:p w:rsidR="00161D15" w:rsidRPr="00161D15" w:rsidRDefault="00161D15" w:rsidP="00161D15">
            <w:pPr>
              <w:spacing w:after="40" w:line="276" w:lineRule="auto"/>
              <w:jc w:val="both"/>
              <w:rPr>
                <w:rFonts w:ascii="Times New Roman" w:hAnsi="Times New Roman"/>
                <w:sz w:val="24"/>
                <w:szCs w:val="24"/>
              </w:rPr>
            </w:pPr>
            <w:r w:rsidRPr="00161D15">
              <w:rPr>
                <w:rFonts w:ascii="Times New Roman" w:eastAsiaTheme="minorHAnsi" w:hAnsi="Times New Roman"/>
                <w:sz w:val="24"/>
                <w:szCs w:val="24"/>
              </w:rPr>
              <w:t>nije primjenjivo</w:t>
            </w:r>
          </w:p>
        </w:tc>
        <w:tc>
          <w:tcPr>
            <w:tcW w:w="1455" w:type="dxa"/>
          </w:tcPr>
          <w:p w:rsidR="00161D15" w:rsidRPr="00161D15" w:rsidRDefault="00161D15" w:rsidP="00161D15">
            <w:pPr>
              <w:spacing w:after="40" w:line="276" w:lineRule="auto"/>
              <w:jc w:val="both"/>
              <w:rPr>
                <w:rFonts w:ascii="Times New Roman" w:hAnsi="Times New Roman"/>
                <w:sz w:val="24"/>
                <w:szCs w:val="24"/>
              </w:rPr>
            </w:pPr>
            <w:r w:rsidRPr="00161D15">
              <w:rPr>
                <w:rFonts w:ascii="Times New Roman" w:hAnsi="Times New Roman"/>
                <w:sz w:val="24"/>
                <w:szCs w:val="24"/>
              </w:rPr>
              <w:t>+</w:t>
            </w:r>
          </w:p>
        </w:tc>
      </w:tr>
      <w:tr w:rsidR="00161D15" w:rsidRPr="00161D15" w:rsidTr="004C34E6">
        <w:tc>
          <w:tcPr>
            <w:tcW w:w="1860" w:type="dxa"/>
            <w:vMerge w:val="restart"/>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Izmjena ugovora</w:t>
            </w:r>
          </w:p>
          <w:p w:rsidR="00161D15" w:rsidRPr="00161D15" w:rsidRDefault="00161D15" w:rsidP="00161D15">
            <w:pPr>
              <w:spacing w:after="40" w:line="276" w:lineRule="auto"/>
              <w:jc w:val="both"/>
              <w:rPr>
                <w:rFonts w:ascii="Times New Roman" w:eastAsiaTheme="minorHAnsi" w:hAnsi="Times New Roman"/>
                <w:sz w:val="24"/>
                <w:szCs w:val="24"/>
              </w:rPr>
            </w:pPr>
          </w:p>
        </w:tc>
        <w:tc>
          <w:tcPr>
            <w:tcW w:w="1974"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Zahtjev za izmjenom ugovora</w:t>
            </w:r>
          </w:p>
        </w:tc>
        <w:tc>
          <w:tcPr>
            <w:tcW w:w="1336"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c>
          <w:tcPr>
            <w:tcW w:w="1390"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c>
          <w:tcPr>
            <w:tcW w:w="1336"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c>
          <w:tcPr>
            <w:tcW w:w="1455"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r>
      <w:tr w:rsidR="00161D15" w:rsidRPr="00161D15" w:rsidTr="004C34E6">
        <w:tc>
          <w:tcPr>
            <w:tcW w:w="1860" w:type="dxa"/>
            <w:vMerge/>
          </w:tcPr>
          <w:p w:rsidR="00161D15" w:rsidRPr="00161D15" w:rsidRDefault="00161D15" w:rsidP="00161D15">
            <w:pPr>
              <w:spacing w:after="40" w:line="276" w:lineRule="auto"/>
              <w:jc w:val="both"/>
              <w:rPr>
                <w:rFonts w:ascii="Times New Roman" w:eastAsiaTheme="minorHAnsi" w:hAnsi="Times New Roman"/>
                <w:sz w:val="24"/>
                <w:szCs w:val="24"/>
              </w:rPr>
            </w:pPr>
          </w:p>
        </w:tc>
        <w:tc>
          <w:tcPr>
            <w:tcW w:w="1974"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 xml:space="preserve">Dopuna zahtjeva za izmjenom ugovora </w:t>
            </w:r>
          </w:p>
        </w:tc>
        <w:tc>
          <w:tcPr>
            <w:tcW w:w="1336"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c>
          <w:tcPr>
            <w:tcW w:w="1390"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c>
          <w:tcPr>
            <w:tcW w:w="1336"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c>
          <w:tcPr>
            <w:tcW w:w="1455"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r>
      <w:tr w:rsidR="00161D15" w:rsidRPr="00161D15" w:rsidTr="004C34E6">
        <w:tc>
          <w:tcPr>
            <w:tcW w:w="1860" w:type="dxa"/>
            <w:vMerge/>
          </w:tcPr>
          <w:p w:rsidR="00161D15" w:rsidRPr="00161D15" w:rsidRDefault="00161D15" w:rsidP="00161D15">
            <w:pPr>
              <w:spacing w:after="40" w:line="276" w:lineRule="auto"/>
              <w:jc w:val="both"/>
              <w:rPr>
                <w:rFonts w:ascii="Times New Roman" w:eastAsiaTheme="minorHAnsi" w:hAnsi="Times New Roman"/>
                <w:sz w:val="24"/>
                <w:szCs w:val="24"/>
              </w:rPr>
            </w:pPr>
          </w:p>
        </w:tc>
        <w:tc>
          <w:tcPr>
            <w:tcW w:w="1974"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Suglasnost na izmjenu ugovora</w:t>
            </w:r>
          </w:p>
        </w:tc>
        <w:tc>
          <w:tcPr>
            <w:tcW w:w="1336"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nije primjenjivo</w:t>
            </w:r>
          </w:p>
        </w:tc>
        <w:tc>
          <w:tcPr>
            <w:tcW w:w="1390"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c>
          <w:tcPr>
            <w:tcW w:w="1336"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nije primjenjivo</w:t>
            </w:r>
          </w:p>
        </w:tc>
        <w:tc>
          <w:tcPr>
            <w:tcW w:w="1455"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r>
      <w:tr w:rsidR="00161D15" w:rsidRPr="00161D15" w:rsidTr="004C34E6">
        <w:tc>
          <w:tcPr>
            <w:tcW w:w="1860" w:type="dxa"/>
            <w:vMerge w:val="restart"/>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Unos ili izmjena plana nabave</w:t>
            </w:r>
          </w:p>
        </w:tc>
        <w:tc>
          <w:tcPr>
            <w:tcW w:w="1974"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Plan nabave</w:t>
            </w:r>
          </w:p>
        </w:tc>
        <w:tc>
          <w:tcPr>
            <w:tcW w:w="1336"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c>
          <w:tcPr>
            <w:tcW w:w="1390"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c>
          <w:tcPr>
            <w:tcW w:w="1336"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c>
          <w:tcPr>
            <w:tcW w:w="1455"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r>
      <w:tr w:rsidR="00161D15" w:rsidRPr="00161D15" w:rsidTr="004C34E6">
        <w:tc>
          <w:tcPr>
            <w:tcW w:w="1860" w:type="dxa"/>
            <w:vMerge/>
          </w:tcPr>
          <w:p w:rsidR="00161D15" w:rsidRPr="00161D15" w:rsidRDefault="00161D15" w:rsidP="00161D15">
            <w:pPr>
              <w:spacing w:after="40" w:line="276" w:lineRule="auto"/>
              <w:jc w:val="both"/>
              <w:rPr>
                <w:rFonts w:ascii="Times New Roman" w:eastAsiaTheme="minorHAnsi" w:hAnsi="Times New Roman"/>
                <w:sz w:val="24"/>
                <w:szCs w:val="24"/>
              </w:rPr>
            </w:pPr>
          </w:p>
        </w:tc>
        <w:tc>
          <w:tcPr>
            <w:tcW w:w="1974"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Izmjena plana nabave</w:t>
            </w:r>
          </w:p>
        </w:tc>
        <w:tc>
          <w:tcPr>
            <w:tcW w:w="1336"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c>
          <w:tcPr>
            <w:tcW w:w="1390"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c>
          <w:tcPr>
            <w:tcW w:w="1336"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c>
          <w:tcPr>
            <w:tcW w:w="1455"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r>
      <w:tr w:rsidR="00161D15" w:rsidRPr="00161D15" w:rsidTr="004C34E6">
        <w:tc>
          <w:tcPr>
            <w:tcW w:w="1860" w:type="dxa"/>
          </w:tcPr>
          <w:p w:rsidR="00161D15" w:rsidRPr="00161D15" w:rsidRDefault="00161D15" w:rsidP="00161D15">
            <w:pPr>
              <w:spacing w:after="40" w:line="276" w:lineRule="auto"/>
              <w:jc w:val="both"/>
              <w:rPr>
                <w:rFonts w:ascii="Times New Roman" w:hAnsi="Times New Roman"/>
                <w:sz w:val="24"/>
                <w:szCs w:val="24"/>
              </w:rPr>
            </w:pPr>
            <w:r w:rsidRPr="00161D15">
              <w:rPr>
                <w:rFonts w:ascii="Times New Roman" w:hAnsi="Times New Roman"/>
                <w:sz w:val="24"/>
                <w:szCs w:val="24"/>
              </w:rPr>
              <w:t>Podnošenje i ažuriranje Početnog plana dostave Zahtjeva za nadoknadom sredstava</w:t>
            </w:r>
          </w:p>
        </w:tc>
        <w:tc>
          <w:tcPr>
            <w:tcW w:w="1974" w:type="dxa"/>
          </w:tcPr>
          <w:p w:rsidR="00161D15" w:rsidRPr="00161D15" w:rsidRDefault="00161D15" w:rsidP="00161D15">
            <w:pPr>
              <w:spacing w:after="40" w:line="276" w:lineRule="auto"/>
              <w:jc w:val="both"/>
              <w:rPr>
                <w:rFonts w:ascii="Times New Roman" w:hAnsi="Times New Roman"/>
                <w:sz w:val="24"/>
                <w:szCs w:val="24"/>
              </w:rPr>
            </w:pPr>
            <w:r w:rsidRPr="00161D15">
              <w:rPr>
                <w:rFonts w:ascii="Times New Roman" w:hAnsi="Times New Roman"/>
                <w:sz w:val="24"/>
                <w:szCs w:val="24"/>
              </w:rPr>
              <w:t>Početni plan dostave Zahtjeva za nadoknadom sredstava</w:t>
            </w:r>
          </w:p>
        </w:tc>
        <w:tc>
          <w:tcPr>
            <w:tcW w:w="1336" w:type="dxa"/>
          </w:tcPr>
          <w:p w:rsidR="00161D15" w:rsidRPr="00161D15" w:rsidRDefault="00161D15" w:rsidP="00161D15">
            <w:pPr>
              <w:spacing w:after="40" w:line="276" w:lineRule="auto"/>
              <w:jc w:val="both"/>
              <w:rPr>
                <w:rFonts w:ascii="Times New Roman" w:hAnsi="Times New Roman"/>
                <w:sz w:val="24"/>
                <w:szCs w:val="24"/>
              </w:rPr>
            </w:pPr>
            <w:r w:rsidRPr="00161D15">
              <w:rPr>
                <w:rFonts w:ascii="Times New Roman" w:hAnsi="Times New Roman"/>
                <w:sz w:val="24"/>
                <w:szCs w:val="24"/>
              </w:rPr>
              <w:t>+</w:t>
            </w:r>
          </w:p>
        </w:tc>
        <w:tc>
          <w:tcPr>
            <w:tcW w:w="1390" w:type="dxa"/>
          </w:tcPr>
          <w:p w:rsidR="00161D15" w:rsidRPr="00161D15" w:rsidRDefault="00161D15" w:rsidP="00161D15">
            <w:pPr>
              <w:spacing w:after="40" w:line="276" w:lineRule="auto"/>
              <w:jc w:val="both"/>
              <w:rPr>
                <w:rFonts w:ascii="Times New Roman" w:hAnsi="Times New Roman"/>
                <w:sz w:val="24"/>
                <w:szCs w:val="24"/>
              </w:rPr>
            </w:pPr>
            <w:r w:rsidRPr="00161D15">
              <w:rPr>
                <w:rFonts w:ascii="Times New Roman" w:hAnsi="Times New Roman"/>
                <w:sz w:val="24"/>
                <w:szCs w:val="24"/>
              </w:rPr>
              <w:t>+</w:t>
            </w:r>
          </w:p>
        </w:tc>
        <w:tc>
          <w:tcPr>
            <w:tcW w:w="1336" w:type="dxa"/>
          </w:tcPr>
          <w:p w:rsidR="00161D15" w:rsidRPr="00161D15" w:rsidRDefault="00161D15" w:rsidP="00161D15">
            <w:pPr>
              <w:spacing w:after="40" w:line="276" w:lineRule="auto"/>
              <w:jc w:val="both"/>
              <w:rPr>
                <w:rFonts w:ascii="Times New Roman" w:hAnsi="Times New Roman"/>
                <w:sz w:val="24"/>
                <w:szCs w:val="24"/>
              </w:rPr>
            </w:pPr>
            <w:r w:rsidRPr="00161D15">
              <w:rPr>
                <w:rFonts w:ascii="Times New Roman" w:hAnsi="Times New Roman"/>
                <w:sz w:val="24"/>
                <w:szCs w:val="24"/>
              </w:rPr>
              <w:t>+</w:t>
            </w:r>
          </w:p>
        </w:tc>
        <w:tc>
          <w:tcPr>
            <w:tcW w:w="1455" w:type="dxa"/>
          </w:tcPr>
          <w:p w:rsidR="00161D15" w:rsidRPr="00161D15" w:rsidRDefault="00161D15" w:rsidP="00161D15">
            <w:pPr>
              <w:spacing w:after="40" w:line="276" w:lineRule="auto"/>
              <w:jc w:val="both"/>
              <w:rPr>
                <w:rFonts w:ascii="Times New Roman" w:hAnsi="Times New Roman"/>
                <w:sz w:val="24"/>
                <w:szCs w:val="24"/>
              </w:rPr>
            </w:pPr>
            <w:r w:rsidRPr="00161D15">
              <w:rPr>
                <w:rFonts w:ascii="Times New Roman" w:hAnsi="Times New Roman"/>
                <w:sz w:val="24"/>
                <w:szCs w:val="24"/>
              </w:rPr>
              <w:t>-</w:t>
            </w:r>
          </w:p>
        </w:tc>
      </w:tr>
      <w:tr w:rsidR="00161D15" w:rsidRPr="00161D15" w:rsidTr="004C34E6">
        <w:tc>
          <w:tcPr>
            <w:tcW w:w="1860" w:type="dxa"/>
            <w:vMerge w:val="restart"/>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Podnošenje i dorada Zahtjeva za plaćanjem predujma</w:t>
            </w:r>
          </w:p>
        </w:tc>
        <w:tc>
          <w:tcPr>
            <w:tcW w:w="1974"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Zahtjev za plaćanjem predujma</w:t>
            </w:r>
          </w:p>
        </w:tc>
        <w:tc>
          <w:tcPr>
            <w:tcW w:w="1336"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c>
          <w:tcPr>
            <w:tcW w:w="1390"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c>
          <w:tcPr>
            <w:tcW w:w="1336"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c>
          <w:tcPr>
            <w:tcW w:w="1455"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r>
      <w:tr w:rsidR="00161D15" w:rsidRPr="00161D15" w:rsidTr="004C34E6">
        <w:tc>
          <w:tcPr>
            <w:tcW w:w="1860" w:type="dxa"/>
            <w:vMerge/>
          </w:tcPr>
          <w:p w:rsidR="00161D15" w:rsidRPr="00161D15" w:rsidRDefault="00161D15" w:rsidP="00161D15">
            <w:pPr>
              <w:spacing w:after="40" w:line="276" w:lineRule="auto"/>
              <w:jc w:val="both"/>
              <w:rPr>
                <w:rFonts w:ascii="Times New Roman" w:eastAsiaTheme="minorHAnsi" w:hAnsi="Times New Roman"/>
                <w:sz w:val="24"/>
                <w:szCs w:val="24"/>
              </w:rPr>
            </w:pPr>
          </w:p>
        </w:tc>
        <w:tc>
          <w:tcPr>
            <w:tcW w:w="1974"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Dopuna zahtjeva za plaćanjem predujma</w:t>
            </w:r>
          </w:p>
        </w:tc>
        <w:tc>
          <w:tcPr>
            <w:tcW w:w="1336"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c>
          <w:tcPr>
            <w:tcW w:w="1390"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c>
          <w:tcPr>
            <w:tcW w:w="1336"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c>
          <w:tcPr>
            <w:tcW w:w="1455"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r>
      <w:tr w:rsidR="00161D15" w:rsidRPr="00161D15" w:rsidTr="004C34E6">
        <w:tc>
          <w:tcPr>
            <w:tcW w:w="1860" w:type="dxa"/>
            <w:vMerge w:val="restart"/>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Podnošenje i dorada Zahtjeva za nadoknadom sredstava i Završnog zahtjeva za nadoknadom sredstava</w:t>
            </w:r>
          </w:p>
        </w:tc>
        <w:tc>
          <w:tcPr>
            <w:tcW w:w="1974"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Zahtjev za nadoknadom sredstava</w:t>
            </w:r>
          </w:p>
        </w:tc>
        <w:tc>
          <w:tcPr>
            <w:tcW w:w="1336"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c>
          <w:tcPr>
            <w:tcW w:w="1390"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c>
          <w:tcPr>
            <w:tcW w:w="1336"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c>
          <w:tcPr>
            <w:tcW w:w="1455"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r>
      <w:tr w:rsidR="00161D15" w:rsidRPr="00161D15" w:rsidTr="004C34E6">
        <w:tc>
          <w:tcPr>
            <w:tcW w:w="1860" w:type="dxa"/>
            <w:vMerge/>
          </w:tcPr>
          <w:p w:rsidR="00161D15" w:rsidRPr="00161D15" w:rsidRDefault="00161D15" w:rsidP="00161D15">
            <w:pPr>
              <w:spacing w:after="40" w:line="276" w:lineRule="auto"/>
              <w:jc w:val="both"/>
              <w:rPr>
                <w:rFonts w:ascii="Times New Roman" w:eastAsiaTheme="minorHAnsi" w:hAnsi="Times New Roman"/>
                <w:sz w:val="24"/>
                <w:szCs w:val="24"/>
              </w:rPr>
            </w:pPr>
          </w:p>
        </w:tc>
        <w:tc>
          <w:tcPr>
            <w:tcW w:w="1974"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 xml:space="preserve">Dopuna zahtjeva za nadoknadu sredstava </w:t>
            </w:r>
          </w:p>
        </w:tc>
        <w:tc>
          <w:tcPr>
            <w:tcW w:w="1336"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c>
          <w:tcPr>
            <w:tcW w:w="1390"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c>
          <w:tcPr>
            <w:tcW w:w="1336"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c>
          <w:tcPr>
            <w:tcW w:w="1455"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r>
      <w:tr w:rsidR="00161D15" w:rsidRPr="00161D15" w:rsidTr="004C34E6">
        <w:tc>
          <w:tcPr>
            <w:tcW w:w="1860" w:type="dxa"/>
            <w:vMerge/>
          </w:tcPr>
          <w:p w:rsidR="00161D15" w:rsidRPr="00161D15" w:rsidRDefault="00161D15" w:rsidP="00161D15">
            <w:pPr>
              <w:spacing w:after="40" w:line="276" w:lineRule="auto"/>
              <w:jc w:val="both"/>
              <w:rPr>
                <w:rFonts w:ascii="Times New Roman" w:eastAsiaTheme="minorHAnsi" w:hAnsi="Times New Roman"/>
                <w:sz w:val="24"/>
                <w:szCs w:val="24"/>
              </w:rPr>
            </w:pPr>
          </w:p>
        </w:tc>
        <w:tc>
          <w:tcPr>
            <w:tcW w:w="1974"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Dokumentarni dokazi plaćanja</w:t>
            </w:r>
          </w:p>
        </w:tc>
        <w:tc>
          <w:tcPr>
            <w:tcW w:w="1336"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c>
          <w:tcPr>
            <w:tcW w:w="1390"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c>
          <w:tcPr>
            <w:tcW w:w="1336"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c>
          <w:tcPr>
            <w:tcW w:w="1455"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r>
      <w:tr w:rsidR="00161D15" w:rsidRPr="00161D15" w:rsidTr="004C34E6">
        <w:tc>
          <w:tcPr>
            <w:tcW w:w="1860" w:type="dxa"/>
            <w:vMerge/>
          </w:tcPr>
          <w:p w:rsidR="00161D15" w:rsidRPr="00161D15" w:rsidRDefault="00161D15" w:rsidP="00161D15">
            <w:pPr>
              <w:spacing w:after="40" w:line="276" w:lineRule="auto"/>
              <w:jc w:val="both"/>
              <w:rPr>
                <w:rFonts w:ascii="Times New Roman" w:eastAsiaTheme="minorHAnsi" w:hAnsi="Times New Roman"/>
                <w:sz w:val="24"/>
                <w:szCs w:val="24"/>
              </w:rPr>
            </w:pPr>
          </w:p>
        </w:tc>
        <w:tc>
          <w:tcPr>
            <w:tcW w:w="1974"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Završni zahtjev za nadoknadom sredstava</w:t>
            </w:r>
          </w:p>
        </w:tc>
        <w:tc>
          <w:tcPr>
            <w:tcW w:w="1336"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c>
          <w:tcPr>
            <w:tcW w:w="1390"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c>
          <w:tcPr>
            <w:tcW w:w="1336"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c>
          <w:tcPr>
            <w:tcW w:w="1455"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r>
      <w:tr w:rsidR="00161D15" w:rsidRPr="00161D15" w:rsidTr="004C34E6">
        <w:tc>
          <w:tcPr>
            <w:tcW w:w="1860" w:type="dxa"/>
            <w:vMerge/>
          </w:tcPr>
          <w:p w:rsidR="00161D15" w:rsidRPr="00161D15" w:rsidRDefault="00161D15" w:rsidP="00161D15">
            <w:pPr>
              <w:spacing w:after="40" w:line="276" w:lineRule="auto"/>
              <w:jc w:val="both"/>
              <w:rPr>
                <w:rFonts w:ascii="Times New Roman" w:eastAsiaTheme="minorHAnsi" w:hAnsi="Times New Roman"/>
                <w:sz w:val="24"/>
                <w:szCs w:val="24"/>
              </w:rPr>
            </w:pPr>
          </w:p>
        </w:tc>
        <w:tc>
          <w:tcPr>
            <w:tcW w:w="1974"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Dopuna Završnog zahtjeva za nadoknadom sredstava</w:t>
            </w:r>
          </w:p>
        </w:tc>
        <w:tc>
          <w:tcPr>
            <w:tcW w:w="1336"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c>
          <w:tcPr>
            <w:tcW w:w="1390"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c>
          <w:tcPr>
            <w:tcW w:w="1336"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c>
          <w:tcPr>
            <w:tcW w:w="1455"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r>
      <w:tr w:rsidR="00161D15" w:rsidRPr="00161D15" w:rsidTr="004C34E6">
        <w:tc>
          <w:tcPr>
            <w:tcW w:w="1860" w:type="dxa"/>
            <w:vMerge w:val="restart"/>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Podnošenje i dorada Izvješća nakon provedbe</w:t>
            </w:r>
          </w:p>
        </w:tc>
        <w:tc>
          <w:tcPr>
            <w:tcW w:w="1974"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Izvješće nakon provedbe</w:t>
            </w:r>
          </w:p>
        </w:tc>
        <w:tc>
          <w:tcPr>
            <w:tcW w:w="1336"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c>
          <w:tcPr>
            <w:tcW w:w="1390"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c>
          <w:tcPr>
            <w:tcW w:w="1336"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c>
          <w:tcPr>
            <w:tcW w:w="1455"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r>
      <w:tr w:rsidR="00161D15" w:rsidRPr="00161D15" w:rsidTr="004C34E6">
        <w:tc>
          <w:tcPr>
            <w:tcW w:w="1860" w:type="dxa"/>
            <w:vMerge/>
          </w:tcPr>
          <w:p w:rsidR="00161D15" w:rsidRPr="00161D15" w:rsidRDefault="00161D15" w:rsidP="00161D15">
            <w:pPr>
              <w:spacing w:after="40" w:line="276" w:lineRule="auto"/>
              <w:jc w:val="both"/>
              <w:rPr>
                <w:rFonts w:ascii="Times New Roman" w:eastAsiaTheme="minorHAnsi" w:hAnsi="Times New Roman"/>
                <w:sz w:val="24"/>
                <w:szCs w:val="24"/>
              </w:rPr>
            </w:pPr>
          </w:p>
        </w:tc>
        <w:tc>
          <w:tcPr>
            <w:tcW w:w="1974"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Dopuna izvješća nakon provedbe</w:t>
            </w:r>
          </w:p>
        </w:tc>
        <w:tc>
          <w:tcPr>
            <w:tcW w:w="1336"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c>
          <w:tcPr>
            <w:tcW w:w="1390"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c>
          <w:tcPr>
            <w:tcW w:w="1336"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c>
          <w:tcPr>
            <w:tcW w:w="1455" w:type="dxa"/>
            <w:hideMark/>
          </w:tcPr>
          <w:p w:rsidR="00161D15" w:rsidRPr="00161D15" w:rsidRDefault="00161D15" w:rsidP="00161D15">
            <w:pPr>
              <w:spacing w:after="40" w:line="276" w:lineRule="auto"/>
              <w:jc w:val="both"/>
              <w:rPr>
                <w:rFonts w:ascii="Times New Roman" w:eastAsiaTheme="minorHAnsi" w:hAnsi="Times New Roman"/>
                <w:sz w:val="24"/>
                <w:szCs w:val="24"/>
              </w:rPr>
            </w:pPr>
            <w:r w:rsidRPr="00161D15">
              <w:rPr>
                <w:rFonts w:ascii="Times New Roman" w:eastAsiaTheme="minorHAnsi" w:hAnsi="Times New Roman"/>
                <w:sz w:val="24"/>
                <w:szCs w:val="24"/>
              </w:rPr>
              <w:t>-</w:t>
            </w:r>
          </w:p>
        </w:tc>
      </w:tr>
    </w:tbl>
    <w:p w:rsidR="00161D15" w:rsidRPr="00161D15" w:rsidRDefault="00161D15" w:rsidP="00161D15">
      <w:pPr>
        <w:spacing w:line="276" w:lineRule="auto"/>
        <w:jc w:val="both"/>
        <w:rPr>
          <w:rFonts w:ascii="Times New Roman" w:hAnsi="Times New Roman" w:cs="Times New Roman"/>
          <w:sz w:val="24"/>
          <w:szCs w:val="24"/>
        </w:rPr>
      </w:pP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 xml:space="preserve">Legenda uz gornju tablicu: </w:t>
      </w:r>
    </w:p>
    <w:p w:rsidR="00161D15" w:rsidRPr="00161D15" w:rsidRDefault="00161D15" w:rsidP="00161D15">
      <w:pPr>
        <w:numPr>
          <w:ilvl w:val="0"/>
          <w:numId w:val="1"/>
        </w:numPr>
        <w:spacing w:line="276" w:lineRule="auto"/>
        <w:contextualSpacing/>
        <w:jc w:val="both"/>
        <w:rPr>
          <w:rFonts w:ascii="Times New Roman" w:hAnsi="Times New Roman" w:cs="Times New Roman"/>
          <w:sz w:val="24"/>
          <w:szCs w:val="24"/>
        </w:rPr>
      </w:pPr>
      <w:r w:rsidRPr="00161D15">
        <w:rPr>
          <w:rFonts w:ascii="Times New Roman" w:hAnsi="Times New Roman" w:cs="Times New Roman"/>
          <w:sz w:val="24"/>
          <w:szCs w:val="24"/>
        </w:rPr>
        <w:t>znak „+“ znači da osoba navedena u konkretnom stupcu ima ovlast navedenu u konkretnom retku;</w:t>
      </w:r>
    </w:p>
    <w:p w:rsidR="00161D15" w:rsidRPr="00161D15" w:rsidRDefault="00161D15" w:rsidP="00161D15">
      <w:pPr>
        <w:numPr>
          <w:ilvl w:val="0"/>
          <w:numId w:val="1"/>
        </w:numPr>
        <w:spacing w:line="276" w:lineRule="auto"/>
        <w:contextualSpacing/>
        <w:jc w:val="both"/>
        <w:rPr>
          <w:rFonts w:ascii="Times New Roman" w:hAnsi="Times New Roman" w:cs="Times New Roman"/>
          <w:sz w:val="24"/>
          <w:szCs w:val="24"/>
        </w:rPr>
      </w:pPr>
      <w:r w:rsidRPr="00161D15">
        <w:rPr>
          <w:rFonts w:ascii="Times New Roman" w:hAnsi="Times New Roman" w:cs="Times New Roman"/>
          <w:sz w:val="24"/>
          <w:szCs w:val="24"/>
        </w:rPr>
        <w:t>znak „-“ znači da osoba navedena u konkretnom stupcu nema ovlast navedenu u konkretnom retku;</w:t>
      </w:r>
    </w:p>
    <w:p w:rsidR="00161D15" w:rsidRPr="00161D15" w:rsidRDefault="00161D15" w:rsidP="00161D15">
      <w:pPr>
        <w:spacing w:line="276" w:lineRule="auto"/>
        <w:jc w:val="both"/>
        <w:rPr>
          <w:rFonts w:ascii="Times New Roman" w:hAnsi="Times New Roman" w:cs="Times New Roman"/>
          <w:sz w:val="24"/>
          <w:szCs w:val="24"/>
        </w:rPr>
      </w:pPr>
      <w:r w:rsidRPr="00161D15">
        <w:rPr>
          <w:rFonts w:ascii="Times New Roman" w:hAnsi="Times New Roman" w:cs="Times New Roman"/>
          <w:sz w:val="24"/>
          <w:szCs w:val="24"/>
        </w:rPr>
        <w:t>tekst „nije primjenjivo“ znači da radnja u konkretnom stupcu nije primjenjiva na radnju u konkretnom retku</w:t>
      </w:r>
      <w:r w:rsidR="0091264A">
        <w:rPr>
          <w:rFonts w:ascii="Times New Roman" w:hAnsi="Times New Roman" w:cs="Times New Roman"/>
          <w:sz w:val="24"/>
          <w:szCs w:val="24"/>
        </w:rPr>
        <w:t>.</w:t>
      </w:r>
    </w:p>
    <w:p w:rsidR="00936F73" w:rsidRPr="00161D15" w:rsidRDefault="00936F73" w:rsidP="00161D15">
      <w:pPr>
        <w:spacing w:line="276" w:lineRule="auto"/>
        <w:jc w:val="both"/>
        <w:rPr>
          <w:rFonts w:ascii="Times New Roman" w:hAnsi="Times New Roman" w:cs="Times New Roman"/>
          <w:sz w:val="24"/>
          <w:szCs w:val="24"/>
        </w:rPr>
      </w:pPr>
    </w:p>
    <w:sectPr w:rsidR="00936F73" w:rsidRPr="00161D1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1D15" w:rsidRDefault="00161D15" w:rsidP="00161D15">
      <w:pPr>
        <w:spacing w:after="0" w:line="240" w:lineRule="auto"/>
      </w:pPr>
      <w:r>
        <w:separator/>
      </w:r>
    </w:p>
  </w:endnote>
  <w:endnote w:type="continuationSeparator" w:id="0">
    <w:p w:rsidR="00161D15" w:rsidRDefault="00161D15" w:rsidP="00161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7113066"/>
      <w:docPartObj>
        <w:docPartGallery w:val="Page Numbers (Bottom of Page)"/>
        <w:docPartUnique/>
      </w:docPartObj>
    </w:sdtPr>
    <w:sdtEndPr>
      <w:rPr>
        <w:rFonts w:ascii="Times New Roman" w:hAnsi="Times New Roman" w:cs="Times New Roman"/>
        <w:noProof/>
      </w:rPr>
    </w:sdtEndPr>
    <w:sdtContent>
      <w:p w:rsidR="00161D15" w:rsidRPr="00161D15" w:rsidRDefault="00161D15">
        <w:pPr>
          <w:pStyle w:val="Podnoje"/>
          <w:jc w:val="right"/>
          <w:rPr>
            <w:rFonts w:ascii="Times New Roman" w:hAnsi="Times New Roman" w:cs="Times New Roman"/>
          </w:rPr>
        </w:pPr>
        <w:r w:rsidRPr="00161D15">
          <w:rPr>
            <w:rFonts w:ascii="Times New Roman" w:hAnsi="Times New Roman" w:cs="Times New Roman"/>
          </w:rPr>
          <w:fldChar w:fldCharType="begin"/>
        </w:r>
        <w:r w:rsidRPr="00161D15">
          <w:rPr>
            <w:rFonts w:ascii="Times New Roman" w:hAnsi="Times New Roman" w:cs="Times New Roman"/>
          </w:rPr>
          <w:instrText xml:space="preserve"> PAGE   \* MERGEFORMAT </w:instrText>
        </w:r>
        <w:r w:rsidRPr="00161D15">
          <w:rPr>
            <w:rFonts w:ascii="Times New Roman" w:hAnsi="Times New Roman" w:cs="Times New Roman"/>
          </w:rPr>
          <w:fldChar w:fldCharType="separate"/>
        </w:r>
        <w:r w:rsidR="0070310E">
          <w:rPr>
            <w:rFonts w:ascii="Times New Roman" w:hAnsi="Times New Roman" w:cs="Times New Roman"/>
            <w:noProof/>
          </w:rPr>
          <w:t>1</w:t>
        </w:r>
        <w:r w:rsidRPr="00161D15">
          <w:rPr>
            <w:rFonts w:ascii="Times New Roman" w:hAnsi="Times New Roman" w:cs="Times New Roman"/>
            <w:noProof/>
          </w:rPr>
          <w:fldChar w:fldCharType="end"/>
        </w:r>
      </w:p>
    </w:sdtContent>
  </w:sdt>
  <w:p w:rsidR="00161D15" w:rsidRDefault="00161D15">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1D15" w:rsidRDefault="00161D15" w:rsidP="00161D15">
      <w:pPr>
        <w:spacing w:after="0" w:line="240" w:lineRule="auto"/>
      </w:pPr>
      <w:r>
        <w:separator/>
      </w:r>
    </w:p>
  </w:footnote>
  <w:footnote w:type="continuationSeparator" w:id="0">
    <w:p w:rsidR="00161D15" w:rsidRDefault="00161D15" w:rsidP="00161D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20493F"/>
    <w:multiLevelType w:val="hybridMultilevel"/>
    <w:tmpl w:val="815897D2"/>
    <w:lvl w:ilvl="0" w:tplc="491299D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D15"/>
    <w:rsid w:val="00161D15"/>
    <w:rsid w:val="00305A0D"/>
    <w:rsid w:val="003601A8"/>
    <w:rsid w:val="0070310E"/>
    <w:rsid w:val="0091264A"/>
    <w:rsid w:val="00936F73"/>
    <w:rsid w:val="00BB1F8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1BFC6"/>
  <w15:chartTrackingRefBased/>
  <w15:docId w15:val="{7C863A98-B797-40E6-9756-4551AEDEC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161D15"/>
    <w:pPr>
      <w:spacing w:after="0" w:line="240" w:lineRule="auto"/>
    </w:pPr>
    <w:rPr>
      <w:rFonts w:ascii="Calibri" w:eastAsia="Times New Roman" w:hAnsi="Calibri"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aglavlje">
    <w:name w:val="header"/>
    <w:basedOn w:val="Normal"/>
    <w:link w:val="ZaglavljeChar"/>
    <w:uiPriority w:val="99"/>
    <w:unhideWhenUsed/>
    <w:rsid w:val="00161D1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61D15"/>
  </w:style>
  <w:style w:type="paragraph" w:styleId="Podnoje">
    <w:name w:val="footer"/>
    <w:basedOn w:val="Normal"/>
    <w:link w:val="PodnojeChar"/>
    <w:uiPriority w:val="99"/>
    <w:unhideWhenUsed/>
    <w:rsid w:val="00161D15"/>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61D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11</Pages>
  <Words>3682</Words>
  <Characters>20991</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Žeželj</dc:creator>
  <cp:keywords/>
  <dc:description/>
  <cp:lastModifiedBy>Petra Žeželj</cp:lastModifiedBy>
  <cp:revision>5</cp:revision>
  <dcterms:created xsi:type="dcterms:W3CDTF">2017-11-29T19:48:00Z</dcterms:created>
  <dcterms:modified xsi:type="dcterms:W3CDTF">2017-12-28T10:20:00Z</dcterms:modified>
</cp:coreProperties>
</file>