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D6E" w:rsidRPr="00570B07" w:rsidRDefault="00FE7D6E" w:rsidP="007533F4">
      <w:pPr>
        <w:tabs>
          <w:tab w:val="left" w:pos="6047"/>
        </w:tabs>
        <w:spacing w:after="120" w:line="240" w:lineRule="auto"/>
        <w:jc w:val="both"/>
        <w:outlineLvl w:val="1"/>
        <w:rPr>
          <w:rFonts w:ascii="Gill Sans MT" w:eastAsia="Times New Roman" w:hAnsi="Gill Sans MT" w:cs="Times New Roman"/>
          <w:b/>
          <w:sz w:val="24"/>
          <w:szCs w:val="24"/>
        </w:rPr>
      </w:pPr>
    </w:p>
    <w:p w:rsidR="007B6194" w:rsidRDefault="007B6194" w:rsidP="007533F4">
      <w:pPr>
        <w:pBdr>
          <w:bottom w:val="single" w:sz="4" w:space="1" w:color="auto"/>
        </w:pBdr>
        <w:spacing w:after="120" w:line="240" w:lineRule="auto"/>
        <w:jc w:val="both"/>
        <w:rPr>
          <w:rFonts w:ascii="Gill Sans MT" w:hAnsi="Gill Sans MT" w:cs="Times New Roman"/>
          <w:sz w:val="52"/>
          <w:szCs w:val="28"/>
        </w:rPr>
      </w:pPr>
    </w:p>
    <w:p w:rsidR="007B6194" w:rsidRDefault="007B6194" w:rsidP="007533F4">
      <w:pPr>
        <w:pBdr>
          <w:bottom w:val="single" w:sz="4" w:space="1" w:color="auto"/>
        </w:pBdr>
        <w:spacing w:after="120" w:line="240" w:lineRule="auto"/>
        <w:jc w:val="both"/>
        <w:rPr>
          <w:rFonts w:ascii="Gill Sans MT" w:hAnsi="Gill Sans MT" w:cs="Times New Roman"/>
          <w:sz w:val="52"/>
          <w:szCs w:val="28"/>
        </w:rPr>
      </w:pPr>
      <w:r w:rsidRPr="00CC5842">
        <w:rPr>
          <w:noProof/>
        </w:rPr>
        <w:drawing>
          <wp:inline distT="0" distB="0" distL="0" distR="0" wp14:anchorId="01EEBEFB" wp14:editId="3F215516">
            <wp:extent cx="5760720" cy="1219835"/>
            <wp:effectExtent l="0" t="0" r="0" b="0"/>
            <wp:docPr id="3"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219835"/>
                    </a:xfrm>
                    <a:prstGeom prst="rect">
                      <a:avLst/>
                    </a:prstGeom>
                    <a:noFill/>
                    <a:ln>
                      <a:noFill/>
                    </a:ln>
                  </pic:spPr>
                </pic:pic>
              </a:graphicData>
            </a:graphic>
          </wp:inline>
        </w:drawing>
      </w:r>
    </w:p>
    <w:p w:rsidR="007B6194" w:rsidRDefault="007B6194" w:rsidP="007533F4">
      <w:pPr>
        <w:pBdr>
          <w:bottom w:val="single" w:sz="4" w:space="1" w:color="auto"/>
        </w:pBdr>
        <w:spacing w:after="120" w:line="240" w:lineRule="auto"/>
        <w:jc w:val="both"/>
        <w:rPr>
          <w:rFonts w:ascii="Gill Sans MT" w:hAnsi="Gill Sans MT" w:cs="Times New Roman"/>
          <w:sz w:val="52"/>
          <w:szCs w:val="28"/>
        </w:rPr>
      </w:pPr>
    </w:p>
    <w:p w:rsidR="007B6194" w:rsidRDefault="007B6194" w:rsidP="007533F4">
      <w:pPr>
        <w:pBdr>
          <w:bottom w:val="single" w:sz="4" w:space="1" w:color="auto"/>
        </w:pBdr>
        <w:spacing w:after="120" w:line="240" w:lineRule="auto"/>
        <w:jc w:val="both"/>
        <w:rPr>
          <w:rFonts w:ascii="Gill Sans MT" w:hAnsi="Gill Sans MT" w:cs="Times New Roman"/>
          <w:sz w:val="52"/>
          <w:szCs w:val="28"/>
        </w:rPr>
      </w:pPr>
    </w:p>
    <w:p w:rsidR="007B6194" w:rsidRDefault="007B6194" w:rsidP="0050462F">
      <w:pPr>
        <w:pBdr>
          <w:bottom w:val="single" w:sz="4" w:space="1" w:color="auto"/>
        </w:pBdr>
        <w:spacing w:after="120" w:line="240" w:lineRule="auto"/>
        <w:jc w:val="center"/>
        <w:rPr>
          <w:rFonts w:ascii="Gill Sans MT" w:hAnsi="Gill Sans MT" w:cs="Times New Roman"/>
          <w:sz w:val="52"/>
          <w:szCs w:val="28"/>
        </w:rPr>
      </w:pPr>
      <w:r w:rsidRPr="007B6194">
        <w:rPr>
          <w:rFonts w:ascii="Gill Sans MT" w:hAnsi="Gill Sans MT" w:cs="Times New Roman"/>
          <w:sz w:val="52"/>
          <w:szCs w:val="28"/>
        </w:rPr>
        <w:t>SAŽETAK POZIVA na dostavu projektnih prijedloga u otvoren</w:t>
      </w:r>
      <w:r>
        <w:rPr>
          <w:rFonts w:ascii="Gill Sans MT" w:hAnsi="Gill Sans MT" w:cs="Times New Roman"/>
          <w:sz w:val="52"/>
          <w:szCs w:val="28"/>
        </w:rPr>
        <w:t>om</w:t>
      </w:r>
      <w:r w:rsidRPr="007B6194">
        <w:rPr>
          <w:rFonts w:ascii="Gill Sans MT" w:hAnsi="Gill Sans MT" w:cs="Times New Roman"/>
          <w:sz w:val="52"/>
          <w:szCs w:val="28"/>
        </w:rPr>
        <w:t xml:space="preserve"> postupk</w:t>
      </w:r>
      <w:r>
        <w:rPr>
          <w:rFonts w:ascii="Gill Sans MT" w:hAnsi="Gill Sans MT" w:cs="Times New Roman"/>
          <w:sz w:val="52"/>
          <w:szCs w:val="28"/>
        </w:rPr>
        <w:t>u</w:t>
      </w:r>
      <w:r w:rsidRPr="007B6194">
        <w:rPr>
          <w:rFonts w:ascii="Gill Sans MT" w:hAnsi="Gill Sans MT" w:cs="Times New Roman"/>
          <w:sz w:val="52"/>
          <w:szCs w:val="28"/>
        </w:rPr>
        <w:t xml:space="preserve"> u modalitetu trajnog poziva</w:t>
      </w:r>
    </w:p>
    <w:p w:rsidR="007B6194" w:rsidRDefault="007B6194" w:rsidP="0050462F">
      <w:pPr>
        <w:pBdr>
          <w:bottom w:val="single" w:sz="4" w:space="1" w:color="auto"/>
        </w:pBdr>
        <w:spacing w:after="120" w:line="240" w:lineRule="auto"/>
        <w:jc w:val="center"/>
        <w:rPr>
          <w:rFonts w:ascii="Gill Sans MT" w:hAnsi="Gill Sans MT" w:cs="Times New Roman"/>
          <w:sz w:val="52"/>
          <w:szCs w:val="28"/>
        </w:rPr>
      </w:pPr>
    </w:p>
    <w:p w:rsidR="003521EE" w:rsidRPr="00570B07" w:rsidRDefault="00251A41" w:rsidP="0050462F">
      <w:pPr>
        <w:pBdr>
          <w:bottom w:val="single" w:sz="4" w:space="1" w:color="auto"/>
        </w:pBdr>
        <w:spacing w:after="120" w:line="240" w:lineRule="auto"/>
        <w:jc w:val="center"/>
        <w:rPr>
          <w:rFonts w:ascii="Gill Sans MT" w:hAnsi="Gill Sans MT" w:cs="Times New Roman"/>
          <w:sz w:val="32"/>
          <w:szCs w:val="16"/>
        </w:rPr>
      </w:pPr>
      <w:r w:rsidRPr="00251A41">
        <w:rPr>
          <w:rFonts w:ascii="Gill Sans MT" w:hAnsi="Gill Sans MT" w:cs="Times New Roman"/>
          <w:sz w:val="52"/>
          <w:szCs w:val="28"/>
        </w:rPr>
        <w:t>Provedba Programa izobrazno-informativnih aktivnosti o održivom gospodarenju otpadom</w:t>
      </w:r>
    </w:p>
    <w:p w:rsidR="003E2854" w:rsidRDefault="003E2854" w:rsidP="0050462F">
      <w:pPr>
        <w:jc w:val="center"/>
        <w:rPr>
          <w:rFonts w:ascii="Gill Sans MT" w:hAnsi="Gill Sans MT" w:cs="Times New Roman"/>
          <w:b/>
          <w:color w:val="B0CB1F"/>
          <w:sz w:val="28"/>
          <w:szCs w:val="28"/>
        </w:rPr>
      </w:pPr>
    </w:p>
    <w:p w:rsidR="003E2854" w:rsidRPr="00827668" w:rsidRDefault="003E2854" w:rsidP="0050462F">
      <w:pPr>
        <w:jc w:val="center"/>
        <w:rPr>
          <w:rFonts w:ascii="Gill Sans MT" w:hAnsi="Gill Sans MT" w:cs="Times New Roman"/>
          <w:b/>
          <w:color w:val="B0CB1F"/>
          <w:sz w:val="28"/>
          <w:szCs w:val="28"/>
        </w:rPr>
      </w:pPr>
      <w:r>
        <w:rPr>
          <w:rFonts w:ascii="Gill Sans MT" w:hAnsi="Gill Sans MT" w:cs="Times New Roman"/>
          <w:b/>
          <w:color w:val="B0CB1F"/>
          <w:sz w:val="28"/>
          <w:szCs w:val="28"/>
        </w:rPr>
        <w:t>R</w:t>
      </w:r>
      <w:r w:rsidRPr="00827668">
        <w:rPr>
          <w:rFonts w:ascii="Gill Sans MT" w:hAnsi="Gill Sans MT" w:cs="Times New Roman"/>
          <w:b/>
          <w:color w:val="B0CB1F"/>
          <w:sz w:val="28"/>
          <w:szCs w:val="28"/>
        </w:rPr>
        <w:t xml:space="preserve">eferentni broj: </w:t>
      </w:r>
      <w:bookmarkStart w:id="0" w:name="_GoBack"/>
      <w:bookmarkEnd w:id="0"/>
      <w:r w:rsidR="00913DDB" w:rsidRPr="00913DDB">
        <w:rPr>
          <w:rFonts w:ascii="Gill Sans MT" w:hAnsi="Gill Sans MT" w:cs="Times New Roman"/>
          <w:b/>
          <w:color w:val="B0CB1F"/>
          <w:sz w:val="28"/>
          <w:szCs w:val="28"/>
        </w:rPr>
        <w:t>KK.06.3.1.07</w:t>
      </w:r>
    </w:p>
    <w:p w:rsidR="003521EE" w:rsidRDefault="003521EE"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7B6194" w:rsidRDefault="001B7041"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r>
        <w:rPr>
          <w:rFonts w:ascii="Times New Roman" w:hAnsi="Times New Roman" w:cs="Times New Roman"/>
          <w:noProof/>
        </w:rPr>
        <w:drawing>
          <wp:anchor distT="0" distB="0" distL="114300" distR="114300" simplePos="0" relativeHeight="251659264" behindDoc="1" locked="0" layoutInCell="1" allowOverlap="1" wp14:anchorId="3C47B710" wp14:editId="2646C837">
            <wp:simplePos x="0" y="0"/>
            <wp:positionH relativeFrom="column">
              <wp:posOffset>1028065</wp:posOffset>
            </wp:positionH>
            <wp:positionV relativeFrom="paragraph">
              <wp:posOffset>175260</wp:posOffset>
            </wp:positionV>
            <wp:extent cx="3291840" cy="1331595"/>
            <wp:effectExtent l="0" t="0" r="3810" b="1905"/>
            <wp:wrapTight wrapText="bothSides">
              <wp:wrapPolygon edited="0">
                <wp:start x="0" y="0"/>
                <wp:lineTo x="0" y="21322"/>
                <wp:lineTo x="21500" y="21322"/>
                <wp:lineTo x="21500"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ZOE_HR_logo_RGB_poziti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91840" cy="1331595"/>
                    </a:xfrm>
                    <a:prstGeom prst="rect">
                      <a:avLst/>
                    </a:prstGeom>
                  </pic:spPr>
                </pic:pic>
              </a:graphicData>
            </a:graphic>
            <wp14:sizeRelH relativeFrom="page">
              <wp14:pctWidth>0</wp14:pctWidth>
            </wp14:sizeRelH>
            <wp14:sizeRelV relativeFrom="page">
              <wp14:pctHeight>0</wp14:pctHeight>
            </wp14:sizeRelV>
          </wp:anchor>
        </w:drawing>
      </w:r>
    </w:p>
    <w:p w:rsidR="007B6194" w:rsidRDefault="007B619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D52FE9" w:rsidRPr="00570B07" w:rsidRDefault="00BF18E3" w:rsidP="007533F4">
      <w:pPr>
        <w:pStyle w:val="Odlomakpopisa"/>
        <w:numPr>
          <w:ilvl w:val="0"/>
          <w:numId w:val="1"/>
        </w:numPr>
        <w:tabs>
          <w:tab w:val="center" w:pos="4320"/>
          <w:tab w:val="right" w:pos="8640"/>
        </w:tabs>
        <w:spacing w:after="120" w:line="240" w:lineRule="auto"/>
        <w:ind w:left="426" w:hanging="426"/>
        <w:jc w:val="both"/>
        <w:rPr>
          <w:rStyle w:val="hps"/>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lastRenderedPageBreak/>
        <w:t>Cilj</w:t>
      </w:r>
      <w:r w:rsidR="000014C2" w:rsidRPr="00570B07">
        <w:rPr>
          <w:rStyle w:val="hps"/>
          <w:rFonts w:ascii="Gill Sans MT" w:hAnsi="Gill Sans MT" w:cs="Times New Roman"/>
          <w:b/>
          <w:sz w:val="24"/>
          <w:szCs w:val="24"/>
        </w:rPr>
        <w:t xml:space="preserve"> </w:t>
      </w:r>
      <w:r w:rsidRPr="00570B07">
        <w:rPr>
          <w:rStyle w:val="hps"/>
          <w:rFonts w:ascii="Gill Sans MT" w:hAnsi="Gill Sans MT" w:cs="Times New Roman"/>
          <w:b/>
          <w:sz w:val="24"/>
          <w:szCs w:val="24"/>
        </w:rPr>
        <w:t>poziva</w:t>
      </w:r>
    </w:p>
    <w:p w:rsidR="00251A41" w:rsidRPr="00251A41"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 xml:space="preserve">Cilj ovog Poziva na dostavu projektnih prijedloga (Poziv) je pružanje potpore jedinicama lokalne samouprave (JLS) u obliku dodjele bespovratnih sredstava koja će se koristiti za provedbu izobrazno-informativnih aktivnosti o održivom gospodarenju otpadom sukladno Programu izobrazno-informativnih aktivnosti o održivom gospodarenju otpadom koji je objavljen na http://www.mzoip.hr/hr/otpad/strategije-planovi-i-programi.html. </w:t>
      </w:r>
    </w:p>
    <w:p w:rsidR="00251A41" w:rsidRPr="00251A41"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 xml:space="preserve">Sukladno Zakonu o održivom gospodarenju otpadom (NN 94/13, 73/17) (ZOGO) odgovorni dionici za provođenje izobrazno-informativnih aktivnosti na svom području su jedinice lokalne samouprave (JLS) koje su temeljem članka 28., stavak 1, točka 6. i članka 39. ZOGO-a dužne osigurati provedbu izobrazno-informativnih aktivnosti vezanih uz održivo gospodarenje otpadom. </w:t>
      </w:r>
    </w:p>
    <w:p w:rsidR="00251A41" w:rsidRPr="00251A41"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Sukladno članku 28., stavak 2 ZOGO-a, više JLS-ova mogu sporazumno osigurati zajedničko ispunjenje jedne ili više obveza iz stavka 1. istog članka, odnosno mogu sporazumno osigurati zajedničko provođenje izobrazno-informativnih aktivnosti o održivom gospodarenju otpadom na svom području.</w:t>
      </w:r>
    </w:p>
    <w:p w:rsidR="00251A41" w:rsidRPr="00251A41"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Prema Programu izobrazno-informativnih aktivnosti o održivom gospodarenju otpadom, a za potrebe ovog Poziva, jedinice lokalne samouprave dijele se na četiri kategorije i Grad Zagreb:</w:t>
      </w:r>
    </w:p>
    <w:p w:rsidR="00251A41" w:rsidRPr="00251A41" w:rsidRDefault="00251A41" w:rsidP="007533F4">
      <w:pPr>
        <w:pStyle w:val="Odlomakpopisa"/>
        <w:numPr>
          <w:ilvl w:val="0"/>
          <w:numId w:val="8"/>
        </w:num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I. kategoriju čine jedinice lokalne samouprave do 10 000 stanovnika,</w:t>
      </w:r>
    </w:p>
    <w:p w:rsidR="00251A41" w:rsidRPr="00251A41" w:rsidRDefault="00251A41" w:rsidP="007533F4">
      <w:pPr>
        <w:pStyle w:val="Odlomakpopisa"/>
        <w:numPr>
          <w:ilvl w:val="0"/>
          <w:numId w:val="8"/>
        </w:num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II. kategoriju čine jedinice lokalne samouprave s više od 10 000 do 40 000 stanovnika,</w:t>
      </w:r>
    </w:p>
    <w:p w:rsidR="00251A41" w:rsidRPr="00251A41" w:rsidRDefault="00251A41" w:rsidP="007533F4">
      <w:pPr>
        <w:pStyle w:val="Odlomakpopisa"/>
        <w:numPr>
          <w:ilvl w:val="0"/>
          <w:numId w:val="8"/>
        </w:num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III. kategoriju čine jedinice lokalne samouprave s više od 40 000 do 100 000 stanovnika,</w:t>
      </w:r>
    </w:p>
    <w:p w:rsidR="00251A41" w:rsidRPr="00251A41" w:rsidRDefault="00251A41" w:rsidP="007533F4">
      <w:pPr>
        <w:pStyle w:val="Odlomakpopisa"/>
        <w:numPr>
          <w:ilvl w:val="0"/>
          <w:numId w:val="8"/>
        </w:num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IV. kategoriju čine jedinice lokalne samouprave s više od 100 000 stanovnika,</w:t>
      </w:r>
    </w:p>
    <w:p w:rsidR="00251A41" w:rsidRPr="00251A41" w:rsidRDefault="00251A41" w:rsidP="007533F4">
      <w:pPr>
        <w:pStyle w:val="Odlomakpopisa"/>
        <w:numPr>
          <w:ilvl w:val="0"/>
          <w:numId w:val="8"/>
        </w:num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Grad Zagreb.</w:t>
      </w:r>
    </w:p>
    <w:p w:rsidR="00251A41" w:rsidRPr="00570B07"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p>
    <w:p w:rsidR="00D52FE9" w:rsidRPr="00570B07" w:rsidRDefault="00BF18E3" w:rsidP="007533F4">
      <w:pPr>
        <w:pStyle w:val="Odlomakpopisa"/>
        <w:numPr>
          <w:ilvl w:val="0"/>
          <w:numId w:val="1"/>
        </w:numPr>
        <w:tabs>
          <w:tab w:val="center" w:pos="4320"/>
          <w:tab w:val="right" w:pos="8640"/>
        </w:tabs>
        <w:spacing w:after="120" w:line="240" w:lineRule="auto"/>
        <w:ind w:left="426" w:hanging="426"/>
        <w:jc w:val="both"/>
        <w:rPr>
          <w:rStyle w:val="hps"/>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Ukupna</w:t>
      </w:r>
      <w:r w:rsidRPr="00570B07">
        <w:rPr>
          <w:rFonts w:ascii="Gill Sans MT" w:hAnsi="Gill Sans MT" w:cs="Times New Roman"/>
          <w:b/>
          <w:sz w:val="24"/>
          <w:szCs w:val="24"/>
        </w:rPr>
        <w:t xml:space="preserve"> </w:t>
      </w:r>
      <w:r w:rsidRPr="00570B07">
        <w:rPr>
          <w:rStyle w:val="hps"/>
          <w:rFonts w:ascii="Gill Sans MT" w:hAnsi="Gill Sans MT" w:cs="Times New Roman"/>
          <w:b/>
          <w:sz w:val="24"/>
          <w:szCs w:val="24"/>
        </w:rPr>
        <w:t>raspoloživa sredstva</w:t>
      </w:r>
    </w:p>
    <w:p w:rsidR="0006089F" w:rsidRDefault="00251A41"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r w:rsidRPr="00251A41">
        <w:rPr>
          <w:rFonts w:ascii="Gill Sans MT" w:eastAsia="Times New Roman" w:hAnsi="Gill Sans MT" w:cs="Times New Roman"/>
          <w:bCs/>
          <w:sz w:val="24"/>
          <w:szCs w:val="24"/>
          <w:lang w:eastAsia="ar-SA"/>
        </w:rPr>
        <w:t>Ukupan raspoloživ iznos bespovratnih sredstava iz Kohezijskog fonda za dodjelu u okviru ovog Poziv</w:t>
      </w:r>
      <w:r>
        <w:rPr>
          <w:rFonts w:ascii="Gill Sans MT" w:eastAsia="Times New Roman" w:hAnsi="Gill Sans MT" w:cs="Times New Roman"/>
          <w:bCs/>
          <w:sz w:val="24"/>
          <w:szCs w:val="24"/>
          <w:lang w:eastAsia="ar-SA"/>
        </w:rPr>
        <w:t>a je 47.200.000,00 HRK (</w:t>
      </w:r>
      <w:r w:rsidRPr="00251A41">
        <w:rPr>
          <w:rFonts w:ascii="Gill Sans MT" w:eastAsia="Times New Roman" w:hAnsi="Gill Sans MT" w:cs="Times New Roman"/>
          <w:bCs/>
          <w:i/>
          <w:sz w:val="24"/>
          <w:szCs w:val="24"/>
          <w:lang w:eastAsia="ar-SA"/>
        </w:rPr>
        <w:t>četrdesetsedammilijunadvijestotisućakuna)</w:t>
      </w:r>
      <w:r w:rsidRPr="00251A41">
        <w:rPr>
          <w:rFonts w:ascii="Gill Sans MT" w:eastAsia="Times New Roman" w:hAnsi="Gill Sans MT" w:cs="Times New Roman"/>
          <w:bCs/>
          <w:sz w:val="24"/>
          <w:szCs w:val="24"/>
          <w:lang w:eastAsia="ar-SA"/>
        </w:rPr>
        <w:t>.</w:t>
      </w:r>
    </w:p>
    <w:p w:rsidR="00251A41" w:rsidRPr="00570B07" w:rsidRDefault="00251A41"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D52FE9" w:rsidRPr="00570B07" w:rsidRDefault="00BF18E3" w:rsidP="007533F4">
      <w:pPr>
        <w:pStyle w:val="Odlomakpopisa"/>
        <w:numPr>
          <w:ilvl w:val="0"/>
          <w:numId w:val="1"/>
        </w:numPr>
        <w:tabs>
          <w:tab w:val="center" w:pos="4320"/>
          <w:tab w:val="right" w:pos="8640"/>
        </w:tabs>
        <w:spacing w:after="120" w:line="240" w:lineRule="auto"/>
        <w:ind w:left="426" w:hanging="426"/>
        <w:jc w:val="both"/>
        <w:rPr>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Raspoloživa</w:t>
      </w:r>
      <w:r w:rsidRPr="00570B07">
        <w:rPr>
          <w:rFonts w:ascii="Gill Sans MT" w:hAnsi="Gill Sans MT" w:cs="Times New Roman"/>
          <w:b/>
          <w:sz w:val="24"/>
          <w:szCs w:val="24"/>
        </w:rPr>
        <w:t xml:space="preserve"> </w:t>
      </w:r>
      <w:r w:rsidRPr="00570B07">
        <w:rPr>
          <w:rStyle w:val="hps"/>
          <w:rFonts w:ascii="Gill Sans MT" w:hAnsi="Gill Sans MT" w:cs="Times New Roman"/>
          <w:b/>
          <w:sz w:val="24"/>
          <w:szCs w:val="24"/>
        </w:rPr>
        <w:t>sredstva</w:t>
      </w:r>
      <w:r w:rsidRPr="00570B07">
        <w:rPr>
          <w:rFonts w:ascii="Gill Sans MT" w:hAnsi="Gill Sans MT" w:cs="Times New Roman"/>
          <w:b/>
          <w:sz w:val="24"/>
          <w:szCs w:val="24"/>
        </w:rPr>
        <w:t xml:space="preserve"> </w:t>
      </w:r>
      <w:r w:rsidRPr="00570B07">
        <w:rPr>
          <w:rStyle w:val="hps"/>
          <w:rFonts w:ascii="Gill Sans MT" w:hAnsi="Gill Sans MT" w:cs="Times New Roman"/>
          <w:b/>
          <w:sz w:val="24"/>
          <w:szCs w:val="24"/>
        </w:rPr>
        <w:t>po</w:t>
      </w:r>
      <w:r w:rsidRPr="00570B07">
        <w:rPr>
          <w:rFonts w:ascii="Gill Sans MT" w:hAnsi="Gill Sans MT" w:cs="Times New Roman"/>
          <w:b/>
          <w:sz w:val="24"/>
          <w:szCs w:val="24"/>
        </w:rPr>
        <w:t xml:space="preserve"> </w:t>
      </w:r>
      <w:r w:rsidR="009345F5" w:rsidRPr="00570B07">
        <w:rPr>
          <w:rStyle w:val="hps"/>
          <w:rFonts w:ascii="Gill Sans MT" w:hAnsi="Gill Sans MT" w:cs="Times New Roman"/>
          <w:b/>
          <w:sz w:val="24"/>
          <w:szCs w:val="24"/>
        </w:rPr>
        <w:t>prijavitelju</w:t>
      </w:r>
    </w:p>
    <w:p w:rsidR="00251A41" w:rsidRPr="00251A41" w:rsidRDefault="00251A41" w:rsidP="007533F4">
      <w:pPr>
        <w:pStyle w:val="Bezproreda"/>
        <w:jc w:val="both"/>
        <w:rPr>
          <w:rFonts w:ascii="Gill Sans MT" w:eastAsia="Calibri" w:hAnsi="Gill Sans MT" w:cs="Times New Roman"/>
          <w:color w:val="000000" w:themeColor="text1"/>
          <w:sz w:val="24"/>
          <w:szCs w:val="24"/>
          <w:lang w:eastAsia="lt-LT"/>
        </w:rPr>
      </w:pPr>
      <w:r w:rsidRPr="00251A41">
        <w:rPr>
          <w:rFonts w:ascii="Gill Sans MT" w:eastAsia="Calibri" w:hAnsi="Gill Sans MT" w:cs="Times New Roman"/>
          <w:color w:val="000000" w:themeColor="text1"/>
          <w:sz w:val="24"/>
          <w:szCs w:val="24"/>
          <w:lang w:eastAsia="lt-LT"/>
        </w:rPr>
        <w:t xml:space="preserve">Najniži odnosno najviši dopušteni iznos bespovratnih sredstava koji može biti dodijeljen pojedinačnom projektnom prijedlogu u sklopu ovog Poziva je kako slijedi:  </w:t>
      </w:r>
    </w:p>
    <w:p w:rsidR="00251A41" w:rsidRPr="00251A41" w:rsidRDefault="00251A41" w:rsidP="007533F4">
      <w:pPr>
        <w:pStyle w:val="Bezproreda"/>
        <w:jc w:val="both"/>
        <w:rPr>
          <w:rFonts w:ascii="Gill Sans MT" w:eastAsia="Calibri" w:hAnsi="Gill Sans MT" w:cs="Times New Roman"/>
          <w:color w:val="000000" w:themeColor="text1"/>
          <w:sz w:val="24"/>
          <w:szCs w:val="24"/>
          <w:lang w:eastAsia="lt-LT"/>
        </w:rPr>
      </w:pPr>
    </w:p>
    <w:tbl>
      <w:tblPr>
        <w:tblStyle w:val="Reetkatablice"/>
        <w:tblW w:w="0" w:type="auto"/>
        <w:tblLook w:val="04A0" w:firstRow="1" w:lastRow="0" w:firstColumn="1" w:lastColumn="0" w:noHBand="0" w:noVBand="1"/>
      </w:tblPr>
      <w:tblGrid>
        <w:gridCol w:w="2989"/>
        <w:gridCol w:w="2989"/>
        <w:gridCol w:w="2991"/>
      </w:tblGrid>
      <w:tr w:rsidR="00251A41" w:rsidRPr="00251A41" w:rsidTr="003E7A29">
        <w:trPr>
          <w:trHeight w:val="2210"/>
        </w:trPr>
        <w:tc>
          <w:tcPr>
            <w:tcW w:w="2989" w:type="dxa"/>
          </w:tcPr>
          <w:p w:rsidR="00251A41" w:rsidRPr="00251A41" w:rsidRDefault="00251A41" w:rsidP="007533F4">
            <w:pPr>
              <w:pStyle w:val="Bezproreda"/>
              <w:jc w:val="both"/>
              <w:rPr>
                <w:rFonts w:ascii="Gill Sans MT" w:eastAsia="Calibri" w:hAnsi="Gill Sans MT"/>
                <w:b/>
                <w:bCs/>
                <w:i/>
                <w:color w:val="000000" w:themeColor="text1"/>
                <w:sz w:val="24"/>
                <w:szCs w:val="24"/>
                <w:lang w:eastAsia="lt-LT"/>
              </w:rPr>
            </w:pPr>
            <w:r w:rsidRPr="00251A41">
              <w:rPr>
                <w:rFonts w:ascii="Gill Sans MT" w:eastAsia="Calibri" w:hAnsi="Gill Sans MT"/>
                <w:b/>
                <w:bCs/>
                <w:i/>
                <w:color w:val="000000" w:themeColor="text1"/>
                <w:sz w:val="24"/>
                <w:szCs w:val="24"/>
                <w:lang w:eastAsia="lt-LT"/>
              </w:rPr>
              <w:t>Jedinica lokalne samouprave (JLS)*</w:t>
            </w:r>
          </w:p>
        </w:tc>
        <w:tc>
          <w:tcPr>
            <w:tcW w:w="2989" w:type="dxa"/>
          </w:tcPr>
          <w:p w:rsidR="00251A41" w:rsidRPr="00251A41" w:rsidRDefault="00251A41" w:rsidP="007533F4">
            <w:pPr>
              <w:pStyle w:val="Bezproreda"/>
              <w:jc w:val="both"/>
              <w:rPr>
                <w:rFonts w:ascii="Gill Sans MT" w:eastAsia="Calibri" w:hAnsi="Gill Sans MT"/>
                <w:b/>
                <w:bCs/>
                <w:i/>
                <w:color w:val="000000" w:themeColor="text1"/>
                <w:sz w:val="24"/>
                <w:szCs w:val="24"/>
                <w:lang w:eastAsia="lt-LT"/>
              </w:rPr>
            </w:pPr>
            <w:r w:rsidRPr="00251A41">
              <w:rPr>
                <w:rFonts w:ascii="Gill Sans MT" w:eastAsia="Calibri" w:hAnsi="Gill Sans MT"/>
                <w:b/>
                <w:bCs/>
                <w:i/>
                <w:color w:val="000000" w:themeColor="text1"/>
                <w:sz w:val="24"/>
                <w:szCs w:val="24"/>
                <w:lang w:eastAsia="lt-LT"/>
              </w:rPr>
              <w:t>Najniži dopušteni iznos bespovratnih sredstava koji može biti dodijeljen pojedinačnom projektnom prijedlogu u sklopu ovog Poziva (KN)</w:t>
            </w:r>
          </w:p>
        </w:tc>
        <w:tc>
          <w:tcPr>
            <w:tcW w:w="2991" w:type="dxa"/>
          </w:tcPr>
          <w:p w:rsidR="00251A41" w:rsidRPr="00251A41" w:rsidRDefault="00251A41" w:rsidP="007533F4">
            <w:pPr>
              <w:pStyle w:val="Bezproreda"/>
              <w:jc w:val="both"/>
              <w:rPr>
                <w:rFonts w:ascii="Gill Sans MT" w:eastAsia="Calibri" w:hAnsi="Gill Sans MT"/>
                <w:b/>
                <w:bCs/>
                <w:i/>
                <w:color w:val="000000" w:themeColor="text1"/>
                <w:sz w:val="24"/>
                <w:szCs w:val="24"/>
                <w:lang w:eastAsia="lt-LT"/>
              </w:rPr>
            </w:pPr>
            <w:r w:rsidRPr="00251A41">
              <w:rPr>
                <w:rFonts w:ascii="Gill Sans MT" w:eastAsia="Calibri" w:hAnsi="Gill Sans MT"/>
                <w:b/>
                <w:bCs/>
                <w:i/>
                <w:color w:val="000000" w:themeColor="text1"/>
                <w:sz w:val="24"/>
                <w:szCs w:val="24"/>
                <w:lang w:eastAsia="lt-LT"/>
              </w:rPr>
              <w:t>Najviši dopušteni iznos bespovratnih sredstava koji može biti dodijeljen pojedinačnom projektnom prijedlogu u sklopu ovog Poziva (KN)</w:t>
            </w:r>
          </w:p>
        </w:tc>
      </w:tr>
      <w:tr w:rsidR="00251A41" w:rsidRPr="00251A41" w:rsidTr="003E7A29">
        <w:trPr>
          <w:trHeight w:val="827"/>
        </w:trPr>
        <w:tc>
          <w:tcPr>
            <w:tcW w:w="2989" w:type="dxa"/>
          </w:tcPr>
          <w:p w:rsidR="00251A41" w:rsidRPr="00251A41" w:rsidRDefault="00251A41" w:rsidP="007533F4">
            <w:pPr>
              <w:pStyle w:val="Bezproreda"/>
              <w:jc w:val="both"/>
              <w:rPr>
                <w:rFonts w:ascii="Gill Sans MT" w:eastAsia="Calibri" w:hAnsi="Gill Sans MT"/>
                <w:b/>
                <w:i/>
                <w:color w:val="000000" w:themeColor="text1"/>
                <w:sz w:val="24"/>
                <w:szCs w:val="24"/>
                <w:lang w:eastAsia="lt-LT"/>
              </w:rPr>
            </w:pPr>
            <w:r w:rsidRPr="00251A41">
              <w:rPr>
                <w:rFonts w:ascii="Gill Sans MT" w:eastAsia="Calibri" w:hAnsi="Gill Sans MT"/>
                <w:b/>
                <w:i/>
                <w:color w:val="000000" w:themeColor="text1"/>
                <w:sz w:val="24"/>
                <w:szCs w:val="24"/>
                <w:lang w:eastAsia="lt-LT"/>
              </w:rPr>
              <w:t>II. kategorija</w:t>
            </w:r>
          </w:p>
          <w:p w:rsidR="00251A41" w:rsidRPr="00251A41" w:rsidRDefault="00251A41" w:rsidP="007533F4">
            <w:pPr>
              <w:pStyle w:val="Bezproreda"/>
              <w:jc w:val="both"/>
              <w:rPr>
                <w:rFonts w:ascii="Gill Sans MT" w:eastAsia="Calibri" w:hAnsi="Gill Sans MT"/>
                <w:bCs/>
                <w:i/>
                <w:color w:val="000000" w:themeColor="text1"/>
                <w:sz w:val="24"/>
                <w:szCs w:val="24"/>
                <w:lang w:eastAsia="lt-LT"/>
              </w:rPr>
            </w:pPr>
            <w:r w:rsidRPr="00251A41">
              <w:rPr>
                <w:rFonts w:ascii="Gill Sans MT" w:eastAsia="Calibri" w:hAnsi="Gill Sans MT"/>
                <w:b/>
                <w:bCs/>
                <w:i/>
                <w:color w:val="000000" w:themeColor="text1"/>
                <w:sz w:val="24"/>
                <w:szCs w:val="24"/>
                <w:lang w:eastAsia="lt-LT"/>
              </w:rPr>
              <w:t>(više od 10 000 do 40 000 stanovnika)</w:t>
            </w:r>
          </w:p>
        </w:tc>
        <w:tc>
          <w:tcPr>
            <w:tcW w:w="2989" w:type="dxa"/>
          </w:tcPr>
          <w:p w:rsidR="00251A41" w:rsidRPr="00251A41" w:rsidRDefault="00251A41" w:rsidP="007533F4">
            <w:pPr>
              <w:pStyle w:val="Bezproreda"/>
              <w:jc w:val="both"/>
              <w:rPr>
                <w:rFonts w:ascii="Gill Sans MT" w:eastAsia="Calibri" w:hAnsi="Gill Sans MT"/>
                <w:bCs/>
                <w:color w:val="000000" w:themeColor="text1"/>
                <w:sz w:val="24"/>
                <w:szCs w:val="24"/>
                <w:lang w:eastAsia="lt-LT"/>
              </w:rPr>
            </w:pPr>
            <w:r w:rsidRPr="00251A41">
              <w:rPr>
                <w:rFonts w:ascii="Gill Sans MT" w:eastAsia="Calibri" w:hAnsi="Gill Sans MT"/>
                <w:bCs/>
                <w:color w:val="000000" w:themeColor="text1"/>
                <w:sz w:val="24"/>
                <w:szCs w:val="24"/>
                <w:lang w:eastAsia="lt-LT"/>
              </w:rPr>
              <w:t>250.000,00</w:t>
            </w:r>
          </w:p>
        </w:tc>
        <w:tc>
          <w:tcPr>
            <w:tcW w:w="2991" w:type="dxa"/>
          </w:tcPr>
          <w:p w:rsidR="00251A41" w:rsidRPr="00251A41" w:rsidRDefault="00251A41" w:rsidP="007533F4">
            <w:pPr>
              <w:pStyle w:val="Bezproreda"/>
              <w:jc w:val="both"/>
              <w:rPr>
                <w:rFonts w:ascii="Gill Sans MT" w:eastAsia="Calibri" w:hAnsi="Gill Sans MT"/>
                <w:bCs/>
                <w:color w:val="000000" w:themeColor="text1"/>
                <w:sz w:val="24"/>
                <w:szCs w:val="24"/>
                <w:lang w:eastAsia="lt-LT"/>
              </w:rPr>
            </w:pPr>
            <w:r w:rsidRPr="00251A41">
              <w:rPr>
                <w:rFonts w:ascii="Gill Sans MT" w:eastAsia="Calibri" w:hAnsi="Gill Sans MT"/>
                <w:bCs/>
                <w:color w:val="000000" w:themeColor="text1"/>
                <w:sz w:val="24"/>
                <w:szCs w:val="24"/>
                <w:lang w:eastAsia="lt-LT"/>
              </w:rPr>
              <w:t>500.000,00</w:t>
            </w:r>
          </w:p>
        </w:tc>
      </w:tr>
      <w:tr w:rsidR="00251A41" w:rsidRPr="00251A41" w:rsidTr="003E7A29">
        <w:trPr>
          <w:trHeight w:val="827"/>
        </w:trPr>
        <w:tc>
          <w:tcPr>
            <w:tcW w:w="2989" w:type="dxa"/>
          </w:tcPr>
          <w:p w:rsidR="00251A41" w:rsidRPr="00251A41" w:rsidRDefault="00251A41" w:rsidP="007533F4">
            <w:pPr>
              <w:pStyle w:val="Bezproreda"/>
              <w:jc w:val="both"/>
              <w:rPr>
                <w:rFonts w:ascii="Gill Sans MT" w:eastAsia="Calibri" w:hAnsi="Gill Sans MT"/>
                <w:b/>
                <w:i/>
                <w:color w:val="000000" w:themeColor="text1"/>
                <w:sz w:val="24"/>
                <w:szCs w:val="24"/>
                <w:lang w:eastAsia="lt-LT"/>
              </w:rPr>
            </w:pPr>
            <w:r w:rsidRPr="00251A41">
              <w:rPr>
                <w:rFonts w:ascii="Gill Sans MT" w:eastAsia="Calibri" w:hAnsi="Gill Sans MT"/>
                <w:b/>
                <w:i/>
                <w:color w:val="000000" w:themeColor="text1"/>
                <w:sz w:val="24"/>
                <w:szCs w:val="24"/>
                <w:lang w:eastAsia="lt-LT"/>
              </w:rPr>
              <w:lastRenderedPageBreak/>
              <w:t>III. kategorija</w:t>
            </w:r>
          </w:p>
          <w:p w:rsidR="00251A41" w:rsidRPr="00251A41" w:rsidRDefault="00251A41" w:rsidP="007533F4">
            <w:pPr>
              <w:pStyle w:val="Bezproreda"/>
              <w:jc w:val="both"/>
              <w:rPr>
                <w:rFonts w:ascii="Gill Sans MT" w:eastAsia="Calibri" w:hAnsi="Gill Sans MT"/>
                <w:b/>
                <w:i/>
                <w:color w:val="000000" w:themeColor="text1"/>
                <w:sz w:val="24"/>
                <w:szCs w:val="24"/>
                <w:lang w:eastAsia="lt-LT"/>
              </w:rPr>
            </w:pPr>
            <w:r w:rsidRPr="00251A41">
              <w:rPr>
                <w:rFonts w:ascii="Gill Sans MT" w:eastAsia="Calibri" w:hAnsi="Gill Sans MT"/>
                <w:b/>
                <w:bCs/>
                <w:i/>
                <w:color w:val="000000" w:themeColor="text1"/>
                <w:sz w:val="24"/>
                <w:szCs w:val="24"/>
                <w:lang w:eastAsia="lt-LT"/>
              </w:rPr>
              <w:t>(više od 40 000 do 100 000 stanovnika)</w:t>
            </w:r>
          </w:p>
        </w:tc>
        <w:tc>
          <w:tcPr>
            <w:tcW w:w="2989" w:type="dxa"/>
          </w:tcPr>
          <w:p w:rsidR="00251A41" w:rsidRPr="00251A41" w:rsidRDefault="0036058C" w:rsidP="007533F4">
            <w:pPr>
              <w:pStyle w:val="Bezproreda"/>
              <w:jc w:val="both"/>
              <w:rPr>
                <w:rFonts w:ascii="Gill Sans MT" w:eastAsia="Calibri" w:hAnsi="Gill Sans MT"/>
                <w:bCs/>
                <w:color w:val="000000" w:themeColor="text1"/>
                <w:sz w:val="24"/>
                <w:szCs w:val="24"/>
                <w:lang w:eastAsia="lt-LT"/>
              </w:rPr>
            </w:pPr>
            <w:r>
              <w:rPr>
                <w:rFonts w:ascii="Gill Sans MT" w:eastAsia="Calibri" w:hAnsi="Gill Sans MT"/>
                <w:bCs/>
                <w:color w:val="000000" w:themeColor="text1"/>
                <w:sz w:val="24"/>
                <w:szCs w:val="24"/>
                <w:lang w:eastAsia="lt-LT"/>
              </w:rPr>
              <w:t>i</w:t>
            </w:r>
            <w:r w:rsidR="007533F4">
              <w:rPr>
                <w:rFonts w:ascii="Gill Sans MT" w:eastAsia="Calibri" w:hAnsi="Gill Sans MT"/>
                <w:bCs/>
                <w:color w:val="000000" w:themeColor="text1"/>
                <w:sz w:val="24"/>
                <w:szCs w:val="24"/>
                <w:lang w:eastAsia="lt-LT"/>
              </w:rPr>
              <w:t>znad 500.000</w:t>
            </w:r>
            <w:r w:rsidR="00251A41" w:rsidRPr="00251A41">
              <w:rPr>
                <w:rFonts w:ascii="Gill Sans MT" w:eastAsia="Calibri" w:hAnsi="Gill Sans MT"/>
                <w:bCs/>
                <w:color w:val="000000" w:themeColor="text1"/>
                <w:sz w:val="24"/>
                <w:szCs w:val="24"/>
                <w:lang w:eastAsia="lt-LT"/>
              </w:rPr>
              <w:t>,00</w:t>
            </w:r>
          </w:p>
        </w:tc>
        <w:tc>
          <w:tcPr>
            <w:tcW w:w="2991" w:type="dxa"/>
          </w:tcPr>
          <w:p w:rsidR="00251A41" w:rsidRPr="00251A41" w:rsidRDefault="00251A41" w:rsidP="007533F4">
            <w:pPr>
              <w:pStyle w:val="Bezproreda"/>
              <w:jc w:val="both"/>
              <w:rPr>
                <w:rFonts w:ascii="Gill Sans MT" w:eastAsia="Calibri" w:hAnsi="Gill Sans MT"/>
                <w:bCs/>
                <w:color w:val="000000" w:themeColor="text1"/>
                <w:sz w:val="24"/>
                <w:szCs w:val="24"/>
                <w:lang w:eastAsia="lt-LT"/>
              </w:rPr>
            </w:pPr>
            <w:r w:rsidRPr="00251A41">
              <w:rPr>
                <w:rFonts w:ascii="Gill Sans MT" w:eastAsia="Calibri" w:hAnsi="Gill Sans MT"/>
                <w:bCs/>
                <w:color w:val="000000" w:themeColor="text1"/>
                <w:sz w:val="24"/>
                <w:szCs w:val="24"/>
                <w:lang w:eastAsia="lt-LT"/>
              </w:rPr>
              <w:t>1.200.000,00</w:t>
            </w:r>
          </w:p>
        </w:tc>
      </w:tr>
      <w:tr w:rsidR="00251A41" w:rsidRPr="00251A41" w:rsidTr="003E7A29">
        <w:trPr>
          <w:trHeight w:val="827"/>
        </w:trPr>
        <w:tc>
          <w:tcPr>
            <w:tcW w:w="2989" w:type="dxa"/>
          </w:tcPr>
          <w:p w:rsidR="00251A41" w:rsidRPr="00251A41" w:rsidRDefault="00251A41" w:rsidP="007533F4">
            <w:pPr>
              <w:pStyle w:val="Bezproreda"/>
              <w:jc w:val="both"/>
              <w:rPr>
                <w:rFonts w:ascii="Gill Sans MT" w:eastAsia="Calibri" w:hAnsi="Gill Sans MT"/>
                <w:b/>
                <w:i/>
                <w:color w:val="000000" w:themeColor="text1"/>
                <w:sz w:val="24"/>
                <w:szCs w:val="24"/>
                <w:lang w:eastAsia="lt-LT"/>
              </w:rPr>
            </w:pPr>
            <w:r w:rsidRPr="00251A41">
              <w:rPr>
                <w:rFonts w:ascii="Gill Sans MT" w:eastAsia="Calibri" w:hAnsi="Gill Sans MT"/>
                <w:b/>
                <w:i/>
                <w:color w:val="000000" w:themeColor="text1"/>
                <w:sz w:val="24"/>
                <w:szCs w:val="24"/>
                <w:lang w:eastAsia="lt-LT"/>
              </w:rPr>
              <w:t>IV. kategorija</w:t>
            </w:r>
          </w:p>
          <w:p w:rsidR="00251A41" w:rsidRPr="00251A41" w:rsidRDefault="00251A41" w:rsidP="007533F4">
            <w:pPr>
              <w:pStyle w:val="Bezproreda"/>
              <w:jc w:val="both"/>
              <w:rPr>
                <w:rFonts w:ascii="Gill Sans MT" w:eastAsia="Calibri" w:hAnsi="Gill Sans MT"/>
                <w:bCs/>
                <w:i/>
                <w:color w:val="000000" w:themeColor="text1"/>
                <w:sz w:val="24"/>
                <w:szCs w:val="24"/>
                <w:lang w:eastAsia="lt-LT"/>
              </w:rPr>
            </w:pPr>
            <w:r w:rsidRPr="00251A41">
              <w:rPr>
                <w:rFonts w:ascii="Gill Sans MT" w:eastAsia="Calibri" w:hAnsi="Gill Sans MT"/>
                <w:b/>
                <w:bCs/>
                <w:i/>
                <w:color w:val="000000" w:themeColor="text1"/>
                <w:sz w:val="24"/>
                <w:szCs w:val="24"/>
                <w:lang w:eastAsia="lt-LT"/>
              </w:rPr>
              <w:t>(više od 100 000 stanovnika)</w:t>
            </w:r>
          </w:p>
        </w:tc>
        <w:tc>
          <w:tcPr>
            <w:tcW w:w="2989" w:type="dxa"/>
          </w:tcPr>
          <w:p w:rsidR="00251A41" w:rsidRPr="00251A41" w:rsidRDefault="00251A41" w:rsidP="007533F4">
            <w:pPr>
              <w:pStyle w:val="Bezproreda"/>
              <w:jc w:val="both"/>
              <w:rPr>
                <w:rFonts w:ascii="Gill Sans MT" w:eastAsia="Calibri" w:hAnsi="Gill Sans MT"/>
                <w:bCs/>
                <w:color w:val="000000" w:themeColor="text1"/>
                <w:sz w:val="24"/>
                <w:szCs w:val="24"/>
                <w:lang w:eastAsia="lt-LT"/>
              </w:rPr>
            </w:pPr>
            <w:r w:rsidRPr="00251A41">
              <w:rPr>
                <w:rFonts w:ascii="Gill Sans MT" w:eastAsia="Calibri" w:hAnsi="Gill Sans MT"/>
                <w:bCs/>
                <w:color w:val="000000" w:themeColor="text1"/>
                <w:sz w:val="24"/>
                <w:szCs w:val="24"/>
                <w:lang w:eastAsia="lt-LT"/>
              </w:rPr>
              <w:t>1.500.000,00</w:t>
            </w:r>
          </w:p>
        </w:tc>
        <w:tc>
          <w:tcPr>
            <w:tcW w:w="2991" w:type="dxa"/>
          </w:tcPr>
          <w:p w:rsidR="00251A41" w:rsidRPr="00251A41" w:rsidRDefault="00251A41" w:rsidP="007533F4">
            <w:pPr>
              <w:pStyle w:val="Bezproreda"/>
              <w:jc w:val="both"/>
              <w:rPr>
                <w:rFonts w:ascii="Gill Sans MT" w:eastAsia="Calibri" w:hAnsi="Gill Sans MT"/>
                <w:bCs/>
                <w:color w:val="000000" w:themeColor="text1"/>
                <w:sz w:val="24"/>
                <w:szCs w:val="24"/>
                <w:lang w:eastAsia="lt-LT"/>
              </w:rPr>
            </w:pPr>
            <w:r w:rsidRPr="00251A41">
              <w:rPr>
                <w:rFonts w:ascii="Gill Sans MT" w:eastAsia="Calibri" w:hAnsi="Gill Sans MT"/>
                <w:bCs/>
                <w:color w:val="000000" w:themeColor="text1"/>
                <w:sz w:val="24"/>
                <w:szCs w:val="24"/>
                <w:lang w:eastAsia="lt-LT"/>
              </w:rPr>
              <w:t>2.500.000,00</w:t>
            </w:r>
          </w:p>
        </w:tc>
      </w:tr>
      <w:tr w:rsidR="00251A41" w:rsidRPr="00251A41" w:rsidTr="003E7A29">
        <w:trPr>
          <w:trHeight w:val="541"/>
        </w:trPr>
        <w:tc>
          <w:tcPr>
            <w:tcW w:w="2989" w:type="dxa"/>
          </w:tcPr>
          <w:p w:rsidR="00251A41" w:rsidRPr="00251A41" w:rsidRDefault="00251A41" w:rsidP="007533F4">
            <w:pPr>
              <w:pStyle w:val="Bezproreda"/>
              <w:jc w:val="both"/>
              <w:rPr>
                <w:rFonts w:ascii="Gill Sans MT" w:eastAsia="Calibri" w:hAnsi="Gill Sans MT"/>
                <w:b/>
                <w:i/>
                <w:color w:val="000000" w:themeColor="text1"/>
                <w:sz w:val="24"/>
                <w:szCs w:val="24"/>
                <w:lang w:eastAsia="lt-LT"/>
              </w:rPr>
            </w:pPr>
            <w:r w:rsidRPr="00251A41">
              <w:rPr>
                <w:rFonts w:ascii="Gill Sans MT" w:eastAsia="Calibri" w:hAnsi="Gill Sans MT"/>
                <w:b/>
                <w:i/>
                <w:color w:val="000000" w:themeColor="text1"/>
                <w:sz w:val="24"/>
                <w:szCs w:val="24"/>
                <w:lang w:eastAsia="lt-LT"/>
              </w:rPr>
              <w:t>Grad Zagreb</w:t>
            </w:r>
          </w:p>
          <w:p w:rsidR="00251A41" w:rsidRPr="00251A41" w:rsidRDefault="00251A41" w:rsidP="007533F4">
            <w:pPr>
              <w:pStyle w:val="Bezproreda"/>
              <w:jc w:val="both"/>
              <w:rPr>
                <w:rFonts w:ascii="Gill Sans MT" w:eastAsia="Calibri" w:hAnsi="Gill Sans MT"/>
                <w:b/>
                <w:i/>
                <w:color w:val="000000" w:themeColor="text1"/>
                <w:sz w:val="24"/>
                <w:szCs w:val="24"/>
                <w:lang w:eastAsia="lt-LT"/>
              </w:rPr>
            </w:pPr>
          </w:p>
        </w:tc>
        <w:tc>
          <w:tcPr>
            <w:tcW w:w="2989" w:type="dxa"/>
          </w:tcPr>
          <w:p w:rsidR="00251A41" w:rsidRPr="00251A41" w:rsidRDefault="0036058C" w:rsidP="007533F4">
            <w:pPr>
              <w:pStyle w:val="Bezproreda"/>
              <w:jc w:val="both"/>
              <w:rPr>
                <w:rFonts w:ascii="Gill Sans MT" w:eastAsia="Calibri" w:hAnsi="Gill Sans MT"/>
                <w:bCs/>
                <w:color w:val="000000" w:themeColor="text1"/>
                <w:sz w:val="24"/>
                <w:szCs w:val="24"/>
                <w:lang w:eastAsia="lt-LT"/>
              </w:rPr>
            </w:pPr>
            <w:r>
              <w:rPr>
                <w:rFonts w:ascii="Gill Sans MT" w:eastAsia="Calibri" w:hAnsi="Gill Sans MT"/>
                <w:bCs/>
                <w:color w:val="000000" w:themeColor="text1"/>
                <w:sz w:val="24"/>
                <w:szCs w:val="24"/>
                <w:lang w:eastAsia="lt-LT"/>
              </w:rPr>
              <w:t>i</w:t>
            </w:r>
            <w:r w:rsidR="007533F4">
              <w:rPr>
                <w:rFonts w:ascii="Gill Sans MT" w:eastAsia="Calibri" w:hAnsi="Gill Sans MT"/>
                <w:bCs/>
                <w:color w:val="000000" w:themeColor="text1"/>
                <w:sz w:val="24"/>
                <w:szCs w:val="24"/>
                <w:lang w:eastAsia="lt-LT"/>
              </w:rPr>
              <w:t>znad 2.500.000</w:t>
            </w:r>
            <w:r w:rsidR="00251A41" w:rsidRPr="00251A41">
              <w:rPr>
                <w:rFonts w:ascii="Gill Sans MT" w:eastAsia="Calibri" w:hAnsi="Gill Sans MT"/>
                <w:bCs/>
                <w:color w:val="000000" w:themeColor="text1"/>
                <w:sz w:val="24"/>
                <w:szCs w:val="24"/>
                <w:lang w:eastAsia="lt-LT"/>
              </w:rPr>
              <w:t>,00</w:t>
            </w:r>
          </w:p>
        </w:tc>
        <w:tc>
          <w:tcPr>
            <w:tcW w:w="2991" w:type="dxa"/>
          </w:tcPr>
          <w:p w:rsidR="00251A41" w:rsidRPr="00251A41" w:rsidRDefault="00251A41" w:rsidP="007533F4">
            <w:pPr>
              <w:pStyle w:val="Bezproreda"/>
              <w:jc w:val="both"/>
              <w:rPr>
                <w:rFonts w:ascii="Gill Sans MT" w:eastAsia="Calibri" w:hAnsi="Gill Sans MT"/>
                <w:bCs/>
                <w:color w:val="000000" w:themeColor="text1"/>
                <w:sz w:val="24"/>
                <w:szCs w:val="24"/>
                <w:lang w:eastAsia="lt-LT"/>
              </w:rPr>
            </w:pPr>
            <w:r w:rsidRPr="00251A41">
              <w:rPr>
                <w:rFonts w:ascii="Gill Sans MT" w:eastAsia="Calibri" w:hAnsi="Gill Sans MT"/>
                <w:bCs/>
                <w:color w:val="000000" w:themeColor="text1"/>
                <w:sz w:val="24"/>
                <w:szCs w:val="24"/>
                <w:lang w:eastAsia="lt-LT"/>
              </w:rPr>
              <w:t>3.600.000,00</w:t>
            </w:r>
          </w:p>
        </w:tc>
      </w:tr>
    </w:tbl>
    <w:p w:rsidR="00251A41" w:rsidRPr="00251A41" w:rsidRDefault="00251A41" w:rsidP="007533F4">
      <w:pPr>
        <w:pStyle w:val="Bezproreda"/>
        <w:jc w:val="both"/>
        <w:rPr>
          <w:rFonts w:ascii="Gill Sans MT" w:eastAsia="Calibri" w:hAnsi="Gill Sans MT" w:cs="Times New Roman"/>
          <w:b/>
          <w:bCs/>
          <w:i/>
          <w:color w:val="000000" w:themeColor="text1"/>
          <w:sz w:val="24"/>
          <w:szCs w:val="24"/>
          <w:lang w:eastAsia="lt-LT"/>
        </w:rPr>
      </w:pPr>
    </w:p>
    <w:p w:rsidR="009A2ECC" w:rsidRPr="00251A41" w:rsidRDefault="00251A41" w:rsidP="007533F4">
      <w:pPr>
        <w:pStyle w:val="Bezproreda"/>
        <w:jc w:val="both"/>
        <w:rPr>
          <w:rFonts w:ascii="Gill Sans MT" w:eastAsia="Calibri" w:hAnsi="Gill Sans MT" w:cs="Times New Roman"/>
          <w:bCs/>
          <w:color w:val="000000" w:themeColor="text1"/>
          <w:sz w:val="24"/>
          <w:szCs w:val="24"/>
          <w:lang w:eastAsia="lt-LT"/>
        </w:rPr>
      </w:pPr>
      <w:r w:rsidRPr="00251A41">
        <w:rPr>
          <w:rFonts w:ascii="Gill Sans MT" w:eastAsia="Calibri" w:hAnsi="Gill Sans MT" w:cs="Times New Roman"/>
          <w:bCs/>
          <w:color w:val="000000" w:themeColor="text1"/>
          <w:sz w:val="24"/>
          <w:szCs w:val="24"/>
          <w:lang w:eastAsia="lt-LT"/>
        </w:rPr>
        <w:t>* Ukoliko će više JLS sporazumno osigurati zajedničko provođenje izobrazno-informativnih aktivnosti o održivom gospodarenju otpadom na svom području, najniži odnosno najviši dopušteni iznos bespovratnih sredstava koji može biti dodijeljen pojedinačnom projektnom prijedlogu u sklopu ovog Poziva ovisi o ukupnom zbroju stanovnika JLS koje se udružuju, odnosno projektni prijedlog prijavitelja će se svrstavati u jednu od navedenih kategorija JLS sukladno ukupnom zbroju stanovnika JLS koje se udružuju</w:t>
      </w:r>
      <w:r w:rsidRPr="00251A41">
        <w:rPr>
          <w:rStyle w:val="Referencafusnote"/>
          <w:rFonts w:ascii="Gill Sans MT" w:eastAsia="Calibri" w:hAnsi="Gill Sans MT" w:cs="Times New Roman"/>
          <w:bCs/>
          <w:color w:val="000000" w:themeColor="text1"/>
          <w:sz w:val="24"/>
          <w:szCs w:val="24"/>
          <w:lang w:eastAsia="lt-LT"/>
        </w:rPr>
        <w:footnoteReference w:id="1"/>
      </w:r>
      <w:r w:rsidRPr="00251A41">
        <w:rPr>
          <w:rFonts w:ascii="Gill Sans MT" w:eastAsia="Calibri" w:hAnsi="Gill Sans MT" w:cs="Times New Roman"/>
          <w:bCs/>
          <w:color w:val="000000" w:themeColor="text1"/>
          <w:sz w:val="24"/>
          <w:szCs w:val="24"/>
          <w:lang w:eastAsia="lt-LT"/>
        </w:rPr>
        <w:t>.</w:t>
      </w:r>
    </w:p>
    <w:p w:rsidR="00251A41" w:rsidRPr="00570B07" w:rsidRDefault="00251A41" w:rsidP="007533F4">
      <w:pPr>
        <w:pStyle w:val="Odlomakpopisa"/>
        <w:tabs>
          <w:tab w:val="center" w:pos="4320"/>
          <w:tab w:val="right" w:pos="8640"/>
        </w:tabs>
        <w:spacing w:before="240" w:after="120" w:line="240" w:lineRule="auto"/>
        <w:jc w:val="both"/>
        <w:rPr>
          <w:rFonts w:ascii="Gill Sans MT" w:eastAsia="Times New Roman" w:hAnsi="Gill Sans MT" w:cs="Times New Roman"/>
          <w:bCs/>
          <w:sz w:val="24"/>
          <w:szCs w:val="24"/>
          <w:lang w:eastAsia="ar-SA"/>
        </w:rPr>
      </w:pPr>
    </w:p>
    <w:p w:rsidR="00D52FE9" w:rsidRPr="00251A41" w:rsidRDefault="00440612" w:rsidP="007533F4">
      <w:pPr>
        <w:pStyle w:val="Odlomakpopisa"/>
        <w:numPr>
          <w:ilvl w:val="0"/>
          <w:numId w:val="1"/>
        </w:numPr>
        <w:tabs>
          <w:tab w:val="center" w:pos="4320"/>
          <w:tab w:val="right" w:pos="8640"/>
        </w:tabs>
        <w:spacing w:before="240" w:after="120" w:line="240" w:lineRule="auto"/>
        <w:ind w:left="426" w:hanging="426"/>
        <w:jc w:val="both"/>
        <w:rPr>
          <w:rStyle w:val="hps"/>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Predviđeni intenzitet potpore</w:t>
      </w:r>
    </w:p>
    <w:p w:rsidR="00251A41" w:rsidRPr="00251A41" w:rsidRDefault="00251A41" w:rsidP="007533F4">
      <w:p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Iznos bespovratnih sredstava Kohezijskog fonda (KF) po pojedinom projektnom prijedlogu koji se može dodijeliti u sklopu ovog Poziva iznosi maksimalno 85,0000000% od ukupnog iznosa prihvatljivih troškova projekta.</w:t>
      </w:r>
    </w:p>
    <w:p w:rsidR="00251A41" w:rsidRPr="00251A41" w:rsidRDefault="00251A41" w:rsidP="007533F4">
      <w:p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 xml:space="preserve">Prijavitelj (Korisnik) se obvezuje iz vlastitih sredstava ili vanjskim financiranjem, odnosno svime što ne predstavlja sredstva iz Europskih strukturnih i investicijskih fondova, osigurati: </w:t>
      </w:r>
    </w:p>
    <w:p w:rsidR="00251A41" w:rsidRPr="00251A41" w:rsidRDefault="00251A41" w:rsidP="007533F4">
      <w:pPr>
        <w:pStyle w:val="Odlomakpopisa"/>
        <w:numPr>
          <w:ilvl w:val="0"/>
          <w:numId w:val="7"/>
        </w:numPr>
        <w:spacing w:after="120" w:line="240" w:lineRule="auto"/>
        <w:ind w:left="714" w:hanging="357"/>
        <w:contextualSpacing w:val="0"/>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 xml:space="preserve">sredstva za financiranje razlike između iznosa ukupnih prihvatljivih izdataka projektnog prijedloga te iznosa bespovratnih sredstava iz KF-a dodijeljenih za financiranje prihvatljivih izdataka u sklopu ovog Poziva, i </w:t>
      </w:r>
    </w:p>
    <w:p w:rsidR="00251A41" w:rsidRPr="00251A41" w:rsidRDefault="00251A41" w:rsidP="007533F4">
      <w:pPr>
        <w:pStyle w:val="Odlomakpopisa"/>
        <w:numPr>
          <w:ilvl w:val="0"/>
          <w:numId w:val="7"/>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 xml:space="preserve">sredstva za financiranje ukupnih neprihvatljivih izdataka unutar projektnog prijedloga.  </w:t>
      </w:r>
    </w:p>
    <w:p w:rsidR="00251A41" w:rsidRPr="00251A41" w:rsidRDefault="00251A41" w:rsidP="007533F4">
      <w:pPr>
        <w:tabs>
          <w:tab w:val="center" w:pos="4320"/>
          <w:tab w:val="right" w:pos="8640"/>
        </w:tabs>
        <w:spacing w:before="240" w:after="120" w:line="240" w:lineRule="auto"/>
        <w:jc w:val="both"/>
        <w:rPr>
          <w:rStyle w:val="hps"/>
          <w:rFonts w:ascii="Gill Sans MT" w:eastAsia="Times New Roman" w:hAnsi="Gill Sans MT" w:cs="Times New Roman"/>
          <w:b/>
          <w:bCs/>
          <w:sz w:val="24"/>
          <w:szCs w:val="24"/>
          <w:lang w:eastAsia="ar-SA"/>
        </w:rPr>
      </w:pPr>
    </w:p>
    <w:p w:rsidR="00D52FE9" w:rsidRPr="00570B07" w:rsidRDefault="00BF18E3" w:rsidP="007533F4">
      <w:pPr>
        <w:pStyle w:val="Odlomakpopisa"/>
        <w:numPr>
          <w:ilvl w:val="0"/>
          <w:numId w:val="1"/>
        </w:numPr>
        <w:tabs>
          <w:tab w:val="center" w:pos="4320"/>
          <w:tab w:val="right" w:pos="8640"/>
        </w:tabs>
        <w:spacing w:after="120" w:line="240" w:lineRule="auto"/>
        <w:ind w:left="426" w:hanging="426"/>
        <w:jc w:val="both"/>
        <w:rPr>
          <w:rStyle w:val="hps"/>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Pr</w:t>
      </w:r>
      <w:r w:rsidR="000524BE" w:rsidRPr="00570B07">
        <w:rPr>
          <w:rStyle w:val="hps"/>
          <w:rFonts w:ascii="Gill Sans MT" w:hAnsi="Gill Sans MT" w:cs="Times New Roman"/>
          <w:b/>
          <w:sz w:val="24"/>
          <w:szCs w:val="24"/>
        </w:rPr>
        <w:t>i</w:t>
      </w:r>
      <w:r w:rsidR="00B9154C" w:rsidRPr="00570B07">
        <w:rPr>
          <w:rStyle w:val="hps"/>
          <w:rFonts w:ascii="Gill Sans MT" w:hAnsi="Gill Sans MT" w:cs="Times New Roman"/>
          <w:b/>
          <w:sz w:val="24"/>
          <w:szCs w:val="24"/>
        </w:rPr>
        <w:t>hvatljivi pr</w:t>
      </w:r>
      <w:r w:rsidR="00D52FE9" w:rsidRPr="00570B07">
        <w:rPr>
          <w:rStyle w:val="hps"/>
          <w:rFonts w:ascii="Gill Sans MT" w:hAnsi="Gill Sans MT" w:cs="Times New Roman"/>
          <w:b/>
          <w:sz w:val="24"/>
          <w:szCs w:val="24"/>
        </w:rPr>
        <w:t>ijavitelji</w:t>
      </w:r>
    </w:p>
    <w:p w:rsidR="00251A41" w:rsidRPr="00251A41"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Prihvatljivi prijavitelji u sklopu ovog Poziva su jedinice lokalne samouprave Republike Hrvatske koje prijavljuju projekt provođenja izobrazno-informativnih aktivnosti o održivom gospodarenju otpadom na području koje obu</w:t>
      </w:r>
      <w:r>
        <w:rPr>
          <w:rStyle w:val="hps"/>
          <w:rFonts w:ascii="Gill Sans MT" w:eastAsia="Times New Roman" w:hAnsi="Gill Sans MT" w:cs="Times New Roman"/>
          <w:bCs/>
          <w:sz w:val="24"/>
          <w:szCs w:val="24"/>
          <w:lang w:eastAsia="ar-SA"/>
        </w:rPr>
        <w:t>hvaća više od 10 000 stanovnika</w:t>
      </w:r>
      <w:r>
        <w:rPr>
          <w:rStyle w:val="Referencafusnote"/>
          <w:rFonts w:ascii="Gill Sans MT" w:eastAsia="Times New Roman" w:hAnsi="Gill Sans MT" w:cs="Times New Roman"/>
          <w:bCs/>
          <w:sz w:val="24"/>
          <w:szCs w:val="24"/>
          <w:lang w:eastAsia="ar-SA"/>
        </w:rPr>
        <w:footnoteReference w:id="2"/>
      </w:r>
      <w:r w:rsidRPr="00251A41">
        <w:rPr>
          <w:rStyle w:val="hps"/>
          <w:rFonts w:ascii="Gill Sans MT" w:eastAsia="Times New Roman" w:hAnsi="Gill Sans MT" w:cs="Times New Roman"/>
          <w:bCs/>
          <w:sz w:val="24"/>
          <w:szCs w:val="24"/>
          <w:lang w:eastAsia="ar-SA"/>
        </w:rPr>
        <w:t>.</w:t>
      </w:r>
    </w:p>
    <w:p w:rsidR="00251A41" w:rsidRPr="00251A41"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r w:rsidRPr="00251A41">
        <w:rPr>
          <w:rStyle w:val="hps"/>
          <w:rFonts w:ascii="Gill Sans MT" w:eastAsia="Times New Roman" w:hAnsi="Gill Sans MT" w:cs="Times New Roman"/>
          <w:bCs/>
          <w:sz w:val="24"/>
          <w:szCs w:val="24"/>
          <w:lang w:eastAsia="ar-SA"/>
        </w:rPr>
        <w:t>Prijavitelj koji je JLS iz I. kategorije (do 10 000 stanovnika) smatrat će se prihvatljivim prijaviteljem u sklopu ovog Poziva, ukoliko će sporazumnim udruživanjem s JLS/JLS-ovima iz bilo koje kategorije osigurati zajedničko provođenje izobrazno-informativnih aktivnosti o održivom gospodarenju otpadom, na način da ukupni zbroj stanovnika JLS koje se udružuju prelazi 10 000 stanovnika.</w:t>
      </w:r>
    </w:p>
    <w:p w:rsidR="00251A41" w:rsidRPr="00570B07" w:rsidRDefault="00251A41" w:rsidP="007533F4">
      <w:pPr>
        <w:tabs>
          <w:tab w:val="center" w:pos="4320"/>
          <w:tab w:val="right" w:pos="8640"/>
        </w:tabs>
        <w:spacing w:after="120" w:line="240" w:lineRule="auto"/>
        <w:jc w:val="both"/>
        <w:rPr>
          <w:rStyle w:val="hps"/>
          <w:rFonts w:ascii="Gill Sans MT" w:eastAsia="Times New Roman" w:hAnsi="Gill Sans MT" w:cs="Times New Roman"/>
          <w:bCs/>
          <w:sz w:val="24"/>
          <w:szCs w:val="24"/>
          <w:lang w:eastAsia="ar-SA"/>
        </w:rPr>
      </w:pPr>
    </w:p>
    <w:p w:rsidR="00D52FE9" w:rsidRPr="00570B07" w:rsidRDefault="00BF18E3" w:rsidP="007533F4">
      <w:pPr>
        <w:pStyle w:val="Odlomakpopisa"/>
        <w:numPr>
          <w:ilvl w:val="0"/>
          <w:numId w:val="1"/>
        </w:numPr>
        <w:tabs>
          <w:tab w:val="center" w:pos="4320"/>
          <w:tab w:val="right" w:pos="8640"/>
        </w:tabs>
        <w:spacing w:after="120" w:line="240" w:lineRule="auto"/>
        <w:ind w:left="426" w:hanging="426"/>
        <w:jc w:val="both"/>
        <w:rPr>
          <w:rStyle w:val="hps"/>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Prihvatljive aktivnosti</w:t>
      </w:r>
    </w:p>
    <w:p w:rsidR="00251A41" w:rsidRPr="00251A41" w:rsidRDefault="00251A41" w:rsidP="007533F4">
      <w:p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lastRenderedPageBreak/>
        <w:t xml:space="preserve">Prihvatljive aktivnosti koje se mogu financirati u okviru ovog Poziva su: </w:t>
      </w:r>
    </w:p>
    <w:p w:rsidR="00251A41" w:rsidRPr="00251A41" w:rsidRDefault="00251A41" w:rsidP="007533F4">
      <w:pPr>
        <w:spacing w:after="120" w:line="240" w:lineRule="auto"/>
        <w:jc w:val="both"/>
        <w:rPr>
          <w:rFonts w:ascii="Gill Sans MT" w:eastAsia="Times New Roman" w:hAnsi="Gill Sans MT" w:cs="Times New Roman"/>
          <w:sz w:val="24"/>
          <w:szCs w:val="24"/>
        </w:rPr>
      </w:pPr>
    </w:p>
    <w:p w:rsidR="00251A41" w:rsidRPr="00251A41" w:rsidRDefault="00251A41" w:rsidP="007533F4">
      <w:pPr>
        <w:numPr>
          <w:ilvl w:val="0"/>
          <w:numId w:val="11"/>
        </w:numPr>
        <w:spacing w:after="120" w:line="240" w:lineRule="auto"/>
        <w:jc w:val="both"/>
        <w:rPr>
          <w:rFonts w:ascii="Gill Sans MT" w:eastAsia="Times New Roman" w:hAnsi="Gill Sans MT" w:cs="Times New Roman"/>
          <w:b/>
          <w:sz w:val="24"/>
          <w:szCs w:val="24"/>
        </w:rPr>
      </w:pPr>
      <w:r w:rsidRPr="00251A41">
        <w:rPr>
          <w:rFonts w:ascii="Gill Sans MT" w:eastAsia="Times New Roman" w:hAnsi="Gill Sans MT" w:cs="Times New Roman"/>
          <w:b/>
          <w:sz w:val="24"/>
          <w:szCs w:val="24"/>
        </w:rPr>
        <w:t>Izobrazno-informativne aktivnosti o održivom gospodarenju otpadom, što uključuje:</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Letci za sprječavanje nastanka otpada, odgovorno postupanje s otpadom, odvojeno sakupljanje otpada, ponovnu uporabu predmeta, kompostiranje;</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Vodič (brošure) za sprječavanje nastanka otpada, odgovorno postupanje s otpadom, odvojeno sakupljanje otpada, ponovnu uporabu predmeta, kompostiranje;</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Plakati za sprječavanje nastanka otpada, odgovorno postupanje s otpadom, odvojeno sakupljanje otpada, ponovnu uporabu predmeta, kompostiranje;</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Specijalizirane radijske emisije o gospodarenju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Specijalizirane TV emisije o gospodarenju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Uspostavljanje mrežne stranice o gospodarenju otpadom gradova i općina ili nadogradnja postojeće stranice JLS sadržajima vezano uz održivo gospodarenje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Javne i edukacijske tribine na temu održivog gospodarenja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Radionice za djecu;</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Kostimirani igrokazi i predstave za predškolsku djecu na temu održivog gospodarenja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Obilježavanje datuma vezanih uz zaštitu okoliša;</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Natjecanje u školama u izradi kreativnih stvari od prethodno prikupljenog otpada;</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Informativno-obrazovni materijali za predškolsku (edukativne slikovnice, igre i/ili bojanke za djecu) i školsku djecu o održivom gospodarenju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Radijski edukativno-promotivni spotovi o gospodarenju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Televizijski edukativno-promotivni spotovi o gospodarenju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Izrada aplikacije za održivo gospodarenje otpadom za pametne telefone;</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Elektronski oglasi za objavu na internetskim portalima;</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Plaćeni oglasi u tiskanim medijima;</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Nagrada (prigodni pokloni) za najbolji gradski odbor / četvrt / zgradu u praksama odvajanja otpada;</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Letci za strane turiste na ulazima u turističke centre i zajednice s uputama za odgovorno postupanje s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Naljepnice za označavanje kanti i kontejnera za strane turiste s uputama za odgovorno postupanje s otpadom,</w:t>
      </w:r>
    </w:p>
    <w:p w:rsidR="00251A41" w:rsidRPr="00251A41" w:rsidRDefault="00251A41" w:rsidP="007533F4">
      <w:pPr>
        <w:numPr>
          <w:ilvl w:val="0"/>
          <w:numId w:val="10"/>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t>Uključivanje mjera koje promoviraju ravnopravnosti žena i muškaraca i zabranu diskriminacije, te prilagođenost za osobe s invaliditetom u izobrazno-informativne aktivnosti.</w:t>
      </w:r>
    </w:p>
    <w:p w:rsidR="00251A41" w:rsidRPr="00251A41" w:rsidRDefault="00251A41" w:rsidP="007533F4">
      <w:pPr>
        <w:numPr>
          <w:ilvl w:val="0"/>
          <w:numId w:val="11"/>
        </w:num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b/>
          <w:sz w:val="24"/>
          <w:szCs w:val="24"/>
        </w:rPr>
        <w:t>Upravljanje projektom</w:t>
      </w:r>
      <w:r w:rsidRPr="00251A41">
        <w:rPr>
          <w:rFonts w:ascii="Gill Sans MT" w:eastAsia="Times New Roman" w:hAnsi="Gill Sans MT" w:cs="Times New Roman"/>
          <w:sz w:val="24"/>
          <w:szCs w:val="24"/>
        </w:rPr>
        <w:t>, što uključuje angažiranje tvrtki koje će biti zadužene za poslove upravljanja i administraciju projekta, pripremu i provedbu nabave te ostale aktivnosti povezane s upravljanje projektom.</w:t>
      </w:r>
    </w:p>
    <w:p w:rsidR="00251A41" w:rsidRPr="00251A41" w:rsidRDefault="00251A41" w:rsidP="007533F4">
      <w:pPr>
        <w:spacing w:after="120" w:line="240" w:lineRule="auto"/>
        <w:jc w:val="both"/>
        <w:rPr>
          <w:rFonts w:ascii="Gill Sans MT" w:eastAsia="Times New Roman" w:hAnsi="Gill Sans MT" w:cs="Times New Roman"/>
          <w:sz w:val="24"/>
          <w:szCs w:val="24"/>
        </w:rPr>
      </w:pPr>
      <w:r w:rsidRPr="00251A41">
        <w:rPr>
          <w:rFonts w:ascii="Gill Sans MT" w:eastAsia="Times New Roman" w:hAnsi="Gill Sans MT" w:cs="Times New Roman"/>
          <w:sz w:val="24"/>
          <w:szCs w:val="24"/>
        </w:rPr>
        <w:lastRenderedPageBreak/>
        <w:t xml:space="preserve">Sve aktivnosti moraju uključivati mjere promidžbe i vidljivosti, što uključuje aktivnosti koje je prijavitelj/korisnik posebno dužan poduzeti kako bi objavio činjenicu da EU sufinancira projekt te da je projekt koji se provodi u sklopu OPKK sufinanciran sredstvima KF-a. </w:t>
      </w:r>
    </w:p>
    <w:p w:rsidR="004B6995" w:rsidRPr="00570B07" w:rsidRDefault="004B6995" w:rsidP="007533F4">
      <w:pPr>
        <w:tabs>
          <w:tab w:val="center" w:pos="4320"/>
          <w:tab w:val="right" w:pos="8640"/>
        </w:tabs>
        <w:spacing w:after="120" w:line="240" w:lineRule="auto"/>
        <w:jc w:val="both"/>
        <w:rPr>
          <w:rFonts w:ascii="Gill Sans MT" w:eastAsia="Times New Roman" w:hAnsi="Gill Sans MT" w:cs="Times New Roman"/>
          <w:b/>
          <w:bCs/>
          <w:sz w:val="24"/>
          <w:szCs w:val="24"/>
          <w:lang w:eastAsia="ar-SA"/>
        </w:rPr>
      </w:pPr>
    </w:p>
    <w:p w:rsidR="00D52FE9" w:rsidRPr="00570B07" w:rsidRDefault="00BF18E3" w:rsidP="007533F4">
      <w:pPr>
        <w:pStyle w:val="Odlomakpopisa"/>
        <w:numPr>
          <w:ilvl w:val="0"/>
          <w:numId w:val="1"/>
        </w:numPr>
        <w:tabs>
          <w:tab w:val="center" w:pos="4320"/>
          <w:tab w:val="right" w:pos="8640"/>
        </w:tabs>
        <w:spacing w:after="120" w:line="240" w:lineRule="auto"/>
        <w:ind w:left="426" w:hanging="426"/>
        <w:jc w:val="both"/>
        <w:rPr>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Geografsk</w:t>
      </w:r>
      <w:r w:rsidR="000524BE" w:rsidRPr="00570B07">
        <w:rPr>
          <w:rStyle w:val="hps"/>
          <w:rFonts w:ascii="Gill Sans MT" w:hAnsi="Gill Sans MT" w:cs="Times New Roman"/>
          <w:b/>
          <w:sz w:val="24"/>
          <w:szCs w:val="24"/>
        </w:rPr>
        <w:t>a</w:t>
      </w:r>
      <w:r w:rsidRPr="00570B07">
        <w:rPr>
          <w:rFonts w:ascii="Gill Sans MT" w:hAnsi="Gill Sans MT" w:cs="Times New Roman"/>
          <w:b/>
          <w:sz w:val="24"/>
          <w:szCs w:val="24"/>
        </w:rPr>
        <w:t xml:space="preserve"> </w:t>
      </w:r>
      <w:r w:rsidRPr="00570B07">
        <w:rPr>
          <w:rStyle w:val="hps"/>
          <w:rFonts w:ascii="Gill Sans MT" w:hAnsi="Gill Sans MT" w:cs="Times New Roman"/>
          <w:b/>
          <w:sz w:val="24"/>
          <w:szCs w:val="24"/>
        </w:rPr>
        <w:t>ograničenja</w:t>
      </w:r>
    </w:p>
    <w:p w:rsidR="000958B2" w:rsidRPr="00570B07" w:rsidRDefault="000958B2"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r w:rsidRPr="00570B07">
        <w:rPr>
          <w:rFonts w:ascii="Gill Sans MT" w:eastAsia="Times New Roman" w:hAnsi="Gill Sans MT" w:cs="Times New Roman"/>
          <w:bCs/>
          <w:sz w:val="24"/>
          <w:szCs w:val="24"/>
          <w:lang w:eastAsia="ar-SA"/>
        </w:rPr>
        <w:t>Projektne aktivnosti moraju se provoditi na području Republike Hrvatske.</w:t>
      </w:r>
    </w:p>
    <w:p w:rsidR="0006089F" w:rsidRPr="00570B07" w:rsidRDefault="0006089F"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2A2572" w:rsidRPr="00570B07" w:rsidRDefault="00B9154C" w:rsidP="007533F4">
      <w:pPr>
        <w:pStyle w:val="Odlomakpopisa"/>
        <w:numPr>
          <w:ilvl w:val="0"/>
          <w:numId w:val="1"/>
        </w:numPr>
        <w:tabs>
          <w:tab w:val="center" w:pos="4320"/>
          <w:tab w:val="right" w:pos="8640"/>
        </w:tabs>
        <w:spacing w:after="120" w:line="240" w:lineRule="auto"/>
        <w:ind w:left="426" w:hanging="426"/>
        <w:jc w:val="both"/>
        <w:rPr>
          <w:rStyle w:val="hps"/>
          <w:rFonts w:ascii="Gill Sans MT" w:eastAsia="Times New Roman" w:hAnsi="Gill Sans MT" w:cs="Times New Roman"/>
          <w:b/>
          <w:bCs/>
          <w:sz w:val="24"/>
          <w:szCs w:val="24"/>
          <w:lang w:eastAsia="ar-SA"/>
        </w:rPr>
      </w:pPr>
      <w:r w:rsidRPr="00570B07">
        <w:rPr>
          <w:rStyle w:val="hps"/>
          <w:rFonts w:ascii="Gill Sans MT" w:hAnsi="Gill Sans MT" w:cs="Times New Roman"/>
          <w:b/>
          <w:sz w:val="24"/>
          <w:szCs w:val="24"/>
        </w:rPr>
        <w:t>Administrativni podaci</w:t>
      </w:r>
    </w:p>
    <w:p w:rsidR="002A2572" w:rsidRPr="00570B07" w:rsidRDefault="002A2572" w:rsidP="007533F4">
      <w:pPr>
        <w:jc w:val="both"/>
        <w:rPr>
          <w:rFonts w:ascii="Gill Sans MT" w:hAnsi="Gill Sans MT" w:cs="Times New Roman"/>
          <w:sz w:val="24"/>
          <w:szCs w:val="24"/>
        </w:rPr>
      </w:pPr>
      <w:r w:rsidRPr="00570B07">
        <w:rPr>
          <w:rFonts w:ascii="Gill Sans MT" w:hAnsi="Gill Sans MT" w:cs="Times New Roman"/>
          <w:sz w:val="24"/>
          <w:szCs w:val="24"/>
        </w:rPr>
        <w:t xml:space="preserve">Dodjela bespovratnih sredstava iz ovog poziva se vrši kroz otvoreni postupak u modalitetu trajnog poziva. Podnošenje projektnog prijedloga dozvoljeno je </w:t>
      </w:r>
      <w:r w:rsidR="007533F4" w:rsidRPr="007533F4">
        <w:rPr>
          <w:rFonts w:ascii="Gill Sans MT" w:hAnsi="Gill Sans MT" w:cs="Times New Roman"/>
          <w:sz w:val="24"/>
          <w:szCs w:val="24"/>
        </w:rPr>
        <w:t>najranije od sljedećeg radnog dana od isteka 30 dana od dana objave ovog Poziva na središnjoj internetskoj stranici ESI fondova (www.strukturnifondovi.hr) i u sustavu eFon</w:t>
      </w:r>
      <w:r w:rsidR="007533F4">
        <w:rPr>
          <w:rFonts w:ascii="Gill Sans MT" w:hAnsi="Gill Sans MT" w:cs="Times New Roman"/>
          <w:sz w:val="24"/>
          <w:szCs w:val="24"/>
        </w:rPr>
        <w:t xml:space="preserve">dovi na javnom portalu sustava, </w:t>
      </w:r>
      <w:r w:rsidR="00B00F98" w:rsidRPr="007533F4">
        <w:rPr>
          <w:rFonts w:ascii="Gill Sans MT" w:hAnsi="Gill Sans MT" w:cs="Times New Roman"/>
          <w:sz w:val="24"/>
          <w:szCs w:val="24"/>
        </w:rPr>
        <w:t>s</w:t>
      </w:r>
      <w:r w:rsidR="00B00F98" w:rsidRPr="00570B07">
        <w:rPr>
          <w:rFonts w:ascii="Gill Sans MT" w:hAnsi="Gill Sans MT" w:cs="Times New Roman"/>
          <w:sz w:val="24"/>
          <w:szCs w:val="24"/>
        </w:rPr>
        <w:t xml:space="preserve"> krajnjim rokom dostave projektnih</w:t>
      </w:r>
      <w:r w:rsidR="007533F4">
        <w:rPr>
          <w:rFonts w:ascii="Gill Sans MT" w:hAnsi="Gill Sans MT" w:cs="Times New Roman"/>
          <w:sz w:val="24"/>
          <w:szCs w:val="24"/>
        </w:rPr>
        <w:t xml:space="preserve"> prijedloga do 1. veljače 2019</w:t>
      </w:r>
      <w:r w:rsidR="00B00F98" w:rsidRPr="00570B07">
        <w:rPr>
          <w:rFonts w:ascii="Gill Sans MT" w:hAnsi="Gill Sans MT" w:cs="Times New Roman"/>
          <w:sz w:val="24"/>
          <w:szCs w:val="24"/>
        </w:rPr>
        <w:t>. godine</w:t>
      </w:r>
      <w:r w:rsidRPr="00570B07">
        <w:rPr>
          <w:rFonts w:ascii="Gill Sans MT" w:hAnsi="Gill Sans MT" w:cs="Times New Roman"/>
          <w:sz w:val="24"/>
          <w:szCs w:val="24"/>
        </w:rPr>
        <w:t xml:space="preserve">. </w:t>
      </w:r>
      <w:r w:rsidR="00D3506F" w:rsidRPr="00570B07">
        <w:rPr>
          <w:rFonts w:ascii="Gill Sans MT" w:hAnsi="Gill Sans MT" w:cs="Times New Roman"/>
          <w:sz w:val="24"/>
          <w:szCs w:val="24"/>
        </w:rPr>
        <w:t>Postupak dodjele započinje po zaprimanju prvog(ih) projektnog prijedloga, a istječe danom odobrenja posljednjeg projektnog prijedloga koji udovolji svim kriterijima, a kojim se iscrpljuju raspoloživa financijska sredstva.</w:t>
      </w:r>
    </w:p>
    <w:p w:rsidR="003521EE" w:rsidRPr="007533F4" w:rsidRDefault="007533F4"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r w:rsidRPr="007533F4">
        <w:rPr>
          <w:rFonts w:ascii="Gill Sans MT" w:eastAsia="Times New Roman" w:hAnsi="Gill Sans MT" w:cs="Times New Roman"/>
          <w:bCs/>
          <w:sz w:val="24"/>
          <w:szCs w:val="24"/>
          <w:lang w:eastAsia="ar-SA"/>
        </w:rPr>
        <w:t>Projektni prijedlog podnosi se od strane ovlaštene osobe Prijavitelja putem sustava eFondovi u elektroničkom obliku.</w:t>
      </w:r>
    </w:p>
    <w:p w:rsidR="003521EE" w:rsidRPr="00570B07" w:rsidRDefault="003521EE" w:rsidP="007533F4">
      <w:pPr>
        <w:tabs>
          <w:tab w:val="center" w:pos="4320"/>
          <w:tab w:val="right" w:pos="8640"/>
        </w:tabs>
        <w:spacing w:after="120" w:line="240" w:lineRule="auto"/>
        <w:jc w:val="both"/>
        <w:rPr>
          <w:rFonts w:ascii="Gill Sans MT" w:eastAsia="Times New Roman" w:hAnsi="Gill Sans MT" w:cs="Times New Roman"/>
          <w:bCs/>
          <w:sz w:val="24"/>
          <w:szCs w:val="24"/>
          <w:lang w:eastAsia="ar-SA"/>
        </w:rPr>
      </w:pPr>
    </w:p>
    <w:p w:rsidR="00EA17C2" w:rsidRPr="00570B07" w:rsidRDefault="00BF18E3" w:rsidP="007533F4">
      <w:pPr>
        <w:spacing w:after="120" w:line="240" w:lineRule="auto"/>
        <w:jc w:val="both"/>
        <w:rPr>
          <w:rFonts w:ascii="Gill Sans MT" w:hAnsi="Gill Sans MT" w:cs="Times New Roman"/>
          <w:sz w:val="24"/>
          <w:szCs w:val="24"/>
        </w:rPr>
      </w:pPr>
      <w:r w:rsidRPr="00570B07">
        <w:rPr>
          <w:rFonts w:ascii="Gill Sans MT" w:eastAsia="Times New Roman" w:hAnsi="Gill Sans MT" w:cs="Times New Roman"/>
          <w:bCs/>
          <w:sz w:val="24"/>
          <w:szCs w:val="24"/>
          <w:lang w:eastAsia="ar-SA"/>
        </w:rPr>
        <w:t xml:space="preserve"> </w:t>
      </w:r>
    </w:p>
    <w:sectPr w:rsidR="00EA17C2" w:rsidRPr="00570B07" w:rsidSect="00B016E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AF5" w:rsidRDefault="00B13AF5" w:rsidP="005B0573">
      <w:pPr>
        <w:spacing w:after="0" w:line="240" w:lineRule="auto"/>
      </w:pPr>
      <w:r>
        <w:separator/>
      </w:r>
    </w:p>
  </w:endnote>
  <w:endnote w:type="continuationSeparator" w:id="0">
    <w:p w:rsidR="00B13AF5" w:rsidRDefault="00B13AF5" w:rsidP="005B0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453044"/>
      <w:docPartObj>
        <w:docPartGallery w:val="Page Numbers (Bottom of Page)"/>
        <w:docPartUnique/>
      </w:docPartObj>
    </w:sdtPr>
    <w:sdtEndPr/>
    <w:sdtContent>
      <w:sdt>
        <w:sdtPr>
          <w:id w:val="-1669238322"/>
          <w:docPartObj>
            <w:docPartGallery w:val="Page Numbers (Top of Page)"/>
            <w:docPartUnique/>
          </w:docPartObj>
        </w:sdtPr>
        <w:sdtEndPr/>
        <w:sdtContent>
          <w:p w:rsidR="005B0573" w:rsidRDefault="00BF2400">
            <w:pPr>
              <w:pStyle w:val="Podnoje"/>
              <w:jc w:val="center"/>
            </w:pPr>
            <w:r w:rsidRPr="00B2268F">
              <w:rPr>
                <w:rFonts w:ascii="Times New Roman" w:hAnsi="Times New Roman" w:cs="Times New Roman"/>
                <w:bCs/>
              </w:rPr>
              <w:fldChar w:fldCharType="begin"/>
            </w:r>
            <w:r w:rsidR="005B0573" w:rsidRPr="00B2268F">
              <w:rPr>
                <w:rFonts w:ascii="Times New Roman" w:hAnsi="Times New Roman" w:cs="Times New Roman"/>
                <w:bCs/>
              </w:rPr>
              <w:instrText xml:space="preserve"> PAGE </w:instrText>
            </w:r>
            <w:r w:rsidRPr="00B2268F">
              <w:rPr>
                <w:rFonts w:ascii="Times New Roman" w:hAnsi="Times New Roman" w:cs="Times New Roman"/>
                <w:bCs/>
              </w:rPr>
              <w:fldChar w:fldCharType="separate"/>
            </w:r>
            <w:r w:rsidR="00913DDB">
              <w:rPr>
                <w:rFonts w:ascii="Times New Roman" w:hAnsi="Times New Roman" w:cs="Times New Roman"/>
                <w:bCs/>
                <w:noProof/>
              </w:rPr>
              <w:t>1</w:t>
            </w:r>
            <w:r w:rsidRPr="00B2268F">
              <w:rPr>
                <w:rFonts w:ascii="Times New Roman" w:hAnsi="Times New Roman" w:cs="Times New Roman"/>
                <w:bCs/>
              </w:rPr>
              <w:fldChar w:fldCharType="end"/>
            </w:r>
            <w:r w:rsidR="0006089F" w:rsidRPr="00B2268F">
              <w:rPr>
                <w:rFonts w:ascii="Times New Roman" w:hAnsi="Times New Roman" w:cs="Times New Roman"/>
                <w:bCs/>
              </w:rPr>
              <w:t>/</w:t>
            </w:r>
            <w:r w:rsidRPr="00B2268F">
              <w:rPr>
                <w:rFonts w:ascii="Times New Roman" w:hAnsi="Times New Roman" w:cs="Times New Roman"/>
                <w:bCs/>
              </w:rPr>
              <w:fldChar w:fldCharType="begin"/>
            </w:r>
            <w:r w:rsidR="005B0573" w:rsidRPr="00B2268F">
              <w:rPr>
                <w:rFonts w:ascii="Times New Roman" w:hAnsi="Times New Roman" w:cs="Times New Roman"/>
                <w:bCs/>
              </w:rPr>
              <w:instrText xml:space="preserve"> NUMPAGES  </w:instrText>
            </w:r>
            <w:r w:rsidRPr="00B2268F">
              <w:rPr>
                <w:rFonts w:ascii="Times New Roman" w:hAnsi="Times New Roman" w:cs="Times New Roman"/>
                <w:bCs/>
              </w:rPr>
              <w:fldChar w:fldCharType="separate"/>
            </w:r>
            <w:r w:rsidR="00913DDB">
              <w:rPr>
                <w:rFonts w:ascii="Times New Roman" w:hAnsi="Times New Roman" w:cs="Times New Roman"/>
                <w:bCs/>
                <w:noProof/>
              </w:rPr>
              <w:t>5</w:t>
            </w:r>
            <w:r w:rsidRPr="00B2268F">
              <w:rPr>
                <w:rFonts w:ascii="Times New Roman" w:hAnsi="Times New Roman" w:cs="Times New Roman"/>
                <w:bCs/>
              </w:rPr>
              <w:fldChar w:fldCharType="end"/>
            </w:r>
          </w:p>
        </w:sdtContent>
      </w:sdt>
    </w:sdtContent>
  </w:sdt>
  <w:p w:rsidR="005B0573" w:rsidRDefault="005B057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AF5" w:rsidRDefault="00B13AF5" w:rsidP="005B0573">
      <w:pPr>
        <w:spacing w:after="0" w:line="240" w:lineRule="auto"/>
      </w:pPr>
      <w:r>
        <w:separator/>
      </w:r>
    </w:p>
  </w:footnote>
  <w:footnote w:type="continuationSeparator" w:id="0">
    <w:p w:rsidR="00B13AF5" w:rsidRDefault="00B13AF5" w:rsidP="005B0573">
      <w:pPr>
        <w:spacing w:after="0" w:line="240" w:lineRule="auto"/>
      </w:pPr>
      <w:r>
        <w:continuationSeparator/>
      </w:r>
    </w:p>
  </w:footnote>
  <w:footnote w:id="1">
    <w:p w:rsidR="00251A41" w:rsidRPr="00251A41" w:rsidRDefault="00251A41">
      <w:pPr>
        <w:pStyle w:val="Tekstfusnote"/>
        <w:rPr>
          <w:rFonts w:ascii="Gill Sans MT" w:hAnsi="Gill Sans MT"/>
        </w:rPr>
      </w:pPr>
      <w:r w:rsidRPr="00251A41">
        <w:rPr>
          <w:rStyle w:val="Referencafusnote"/>
          <w:rFonts w:ascii="Gill Sans MT" w:hAnsi="Gill Sans MT"/>
        </w:rPr>
        <w:footnoteRef/>
      </w:r>
      <w:r w:rsidRPr="00251A41">
        <w:rPr>
          <w:rFonts w:ascii="Gill Sans MT" w:hAnsi="Gill Sans MT"/>
        </w:rPr>
        <w:t xml:space="preserve"> Sve varijante udruživanja su dopuštene, odnosno JLS se mogu međusobno udruživati bilo iz iste ili različite kategorije.</w:t>
      </w:r>
    </w:p>
  </w:footnote>
  <w:footnote w:id="2">
    <w:p w:rsidR="00251A41" w:rsidRPr="00251A41" w:rsidRDefault="00251A41" w:rsidP="00251A41">
      <w:pPr>
        <w:pStyle w:val="Tekstfusnote"/>
        <w:rPr>
          <w:bCs/>
        </w:rPr>
      </w:pPr>
      <w:r>
        <w:rPr>
          <w:rStyle w:val="Referencafusnote"/>
        </w:rPr>
        <w:footnoteRef/>
      </w:r>
      <w:r>
        <w:t xml:space="preserve"> </w:t>
      </w:r>
      <w:r w:rsidRPr="00251A41">
        <w:rPr>
          <w:rFonts w:ascii="Gill Sans MT" w:hAnsi="Gill Sans MT"/>
          <w:bCs/>
        </w:rPr>
        <w:t xml:space="preserve">Broj stanovnika pojedine JLS će se provjeravati uvidom u Popis stanovništva, kućanstava i stanova 2011. godine Državnog zavoda za statistiku </w:t>
      </w:r>
      <w:hyperlink r:id="rId1" w:history="1">
        <w:r w:rsidRPr="00251A41">
          <w:rPr>
            <w:rStyle w:val="Hiperveza"/>
            <w:rFonts w:ascii="Gill Sans MT" w:hAnsi="Gill Sans MT"/>
            <w:bCs/>
          </w:rPr>
          <w:t>https://www.dzs.hr/hrv/censuses/census2011/results/censustabshtm.htm</w:t>
        </w:r>
      </w:hyperlink>
      <w:r w:rsidRPr="00251A41">
        <w:rPr>
          <w:rFonts w:ascii="Gill Sans MT" w:hAnsi="Gill Sans MT"/>
          <w:bCs/>
        </w:rPr>
        <w:t>.</w:t>
      </w:r>
    </w:p>
    <w:p w:rsidR="00251A41" w:rsidRDefault="00251A41">
      <w:pPr>
        <w:pStyle w:val="Tekstfusnot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9F" w:rsidRPr="00570B07" w:rsidRDefault="00524B31" w:rsidP="00524B31">
    <w:pPr>
      <w:pStyle w:val="Zaglavlje"/>
      <w:tabs>
        <w:tab w:val="clear" w:pos="4536"/>
      </w:tabs>
      <w:rPr>
        <w:rFonts w:ascii="Gill Sans MT" w:hAnsi="Gill Sans MT" w:cs="Times New Roman"/>
        <w:color w:val="B0CB1F"/>
      </w:rPr>
    </w:pPr>
    <w:r w:rsidRPr="004B6995">
      <w:rPr>
        <w:rFonts w:ascii="Gill Sans MT" w:eastAsia="Times New Roman" w:hAnsi="Gill Sans MT" w:cs="Times New Roman"/>
        <w:b/>
        <w:noProof/>
        <w:color w:val="B0CB1F"/>
        <w:sz w:val="16"/>
        <w:szCs w:val="16"/>
      </w:rPr>
      <w:drawing>
        <wp:anchor distT="0" distB="0" distL="114300" distR="114300" simplePos="0" relativeHeight="251659264" behindDoc="1" locked="0" layoutInCell="1" allowOverlap="1" wp14:anchorId="6101B2C0" wp14:editId="19335235">
          <wp:simplePos x="0" y="0"/>
          <wp:positionH relativeFrom="column">
            <wp:posOffset>4580255</wp:posOffset>
          </wp:positionH>
          <wp:positionV relativeFrom="paragraph">
            <wp:posOffset>-439420</wp:posOffset>
          </wp:positionV>
          <wp:extent cx="2057400" cy="1647190"/>
          <wp:effectExtent l="0" t="0" r="0" b="0"/>
          <wp:wrapNone/>
          <wp:docPr id="4" name="Picture 46"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057400" cy="16471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089F" w:rsidRPr="00570B07">
      <w:rPr>
        <w:rFonts w:ascii="Gill Sans MT" w:hAnsi="Gill Sans MT" w:cs="Times New Roman"/>
        <w:color w:val="B0CB1F"/>
      </w:rPr>
      <w:t>SAŽETAK POZIVA</w:t>
    </w:r>
    <w:r>
      <w:rPr>
        <w:rFonts w:ascii="Gill Sans MT" w:hAnsi="Gill Sans MT" w:cs="Times New Roman"/>
        <w:color w:val="B0CB1F"/>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07F0"/>
    <w:multiLevelType w:val="hybridMultilevel"/>
    <w:tmpl w:val="43940F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817A93"/>
    <w:multiLevelType w:val="hybridMultilevel"/>
    <w:tmpl w:val="4DDEBA96"/>
    <w:lvl w:ilvl="0" w:tplc="F9D405FA">
      <w:start w:val="1"/>
      <w:numFmt w:val="decimal"/>
      <w:lvlText w:val="%1."/>
      <w:lvlJc w:val="left"/>
      <w:pPr>
        <w:ind w:left="1080" w:hanging="360"/>
      </w:pPr>
      <w:rPr>
        <w:rFonts w:hint="default"/>
        <w:b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16D47C39"/>
    <w:multiLevelType w:val="hybridMultilevel"/>
    <w:tmpl w:val="D7461768"/>
    <w:lvl w:ilvl="0" w:tplc="1CE4CFD6">
      <w:start w:val="1"/>
      <w:numFmt w:val="bullet"/>
      <w:lvlText w:val=""/>
      <w:lvlJc w:val="left"/>
      <w:pPr>
        <w:ind w:left="720" w:hanging="360"/>
      </w:pPr>
      <w:rPr>
        <w:rFonts w:ascii="Wingdings" w:hAnsi="Wingdings" w:hint="default"/>
        <w:color w:val="B0CB1F"/>
        <w:sz w:val="3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921B04"/>
    <w:multiLevelType w:val="hybridMultilevel"/>
    <w:tmpl w:val="5F6411AE"/>
    <w:lvl w:ilvl="0" w:tplc="7F160890">
      <w:start w:val="1"/>
      <w:numFmt w:val="bullet"/>
      <w:lvlText w:val="-"/>
      <w:lvlJc w:val="left"/>
      <w:pPr>
        <w:ind w:left="360" w:hanging="360"/>
      </w:pPr>
      <w:rPr>
        <w:rFonts w:ascii="Arial" w:hAnsi="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247E4135"/>
    <w:multiLevelType w:val="hybridMultilevel"/>
    <w:tmpl w:val="AA2E1D3E"/>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1C91F87"/>
    <w:multiLevelType w:val="hybridMultilevel"/>
    <w:tmpl w:val="1F9040F4"/>
    <w:lvl w:ilvl="0" w:tplc="DD1C2064">
      <w:numFmt w:val="bullet"/>
      <w:lvlText w:val="-"/>
      <w:lvlJc w:val="left"/>
      <w:pPr>
        <w:ind w:left="1380" w:hanging="1020"/>
      </w:pPr>
      <w:rPr>
        <w:rFonts w:ascii="Gill Sans MT" w:eastAsia="Times New Roman" w:hAnsi="Gill Sans MT"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4BC525E"/>
    <w:multiLevelType w:val="hybridMultilevel"/>
    <w:tmpl w:val="BD18C35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95E1993"/>
    <w:multiLevelType w:val="hybridMultilevel"/>
    <w:tmpl w:val="BA54B4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09C2CB4"/>
    <w:multiLevelType w:val="hybridMultilevel"/>
    <w:tmpl w:val="684A49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734B636D"/>
    <w:multiLevelType w:val="hybridMultilevel"/>
    <w:tmpl w:val="1340C78A"/>
    <w:lvl w:ilvl="0" w:tplc="1CE4CFD6">
      <w:start w:val="1"/>
      <w:numFmt w:val="bullet"/>
      <w:lvlText w:val=""/>
      <w:lvlJc w:val="left"/>
      <w:pPr>
        <w:ind w:left="1080" w:hanging="360"/>
      </w:pPr>
      <w:rPr>
        <w:rFonts w:ascii="Wingdings" w:hAnsi="Wingdings" w:hint="default"/>
        <w:b w:val="0"/>
        <w:color w:val="B0CB1F"/>
        <w:sz w:val="36"/>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74010D7B"/>
    <w:multiLevelType w:val="hybridMultilevel"/>
    <w:tmpl w:val="C15A1B22"/>
    <w:lvl w:ilvl="0" w:tplc="7F160890">
      <w:start w:val="1"/>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2"/>
  </w:num>
  <w:num w:numId="6">
    <w:abstractNumId w:val="9"/>
  </w:num>
  <w:num w:numId="7">
    <w:abstractNumId w:val="6"/>
  </w:num>
  <w:num w:numId="8">
    <w:abstractNumId w:val="10"/>
  </w:num>
  <w:num w:numId="9">
    <w:abstractNumId w:val="5"/>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1EE"/>
    <w:rsid w:val="00000E15"/>
    <w:rsid w:val="000014C2"/>
    <w:rsid w:val="00024069"/>
    <w:rsid w:val="000524BE"/>
    <w:rsid w:val="0006089F"/>
    <w:rsid w:val="000958B2"/>
    <w:rsid w:val="000C64B2"/>
    <w:rsid w:val="001223EB"/>
    <w:rsid w:val="00123B8A"/>
    <w:rsid w:val="001B1428"/>
    <w:rsid w:val="001B1866"/>
    <w:rsid w:val="001B7041"/>
    <w:rsid w:val="001C6619"/>
    <w:rsid w:val="001C6773"/>
    <w:rsid w:val="001E5546"/>
    <w:rsid w:val="00226666"/>
    <w:rsid w:val="00251A41"/>
    <w:rsid w:val="00295613"/>
    <w:rsid w:val="002A2572"/>
    <w:rsid w:val="002C4A89"/>
    <w:rsid w:val="00301B43"/>
    <w:rsid w:val="00321BD5"/>
    <w:rsid w:val="003418E7"/>
    <w:rsid w:val="003521EE"/>
    <w:rsid w:val="0036058C"/>
    <w:rsid w:val="003C0590"/>
    <w:rsid w:val="003D5B3F"/>
    <w:rsid w:val="003E2854"/>
    <w:rsid w:val="00401337"/>
    <w:rsid w:val="00416424"/>
    <w:rsid w:val="00440612"/>
    <w:rsid w:val="004B6995"/>
    <w:rsid w:val="004D567C"/>
    <w:rsid w:val="0050462F"/>
    <w:rsid w:val="00522B99"/>
    <w:rsid w:val="00524B31"/>
    <w:rsid w:val="005361E4"/>
    <w:rsid w:val="005653A4"/>
    <w:rsid w:val="00570B07"/>
    <w:rsid w:val="00576E6F"/>
    <w:rsid w:val="005B0573"/>
    <w:rsid w:val="006A0499"/>
    <w:rsid w:val="006C51B4"/>
    <w:rsid w:val="006D1DA2"/>
    <w:rsid w:val="006D42A9"/>
    <w:rsid w:val="007533F4"/>
    <w:rsid w:val="00764691"/>
    <w:rsid w:val="007863F1"/>
    <w:rsid w:val="007A31E1"/>
    <w:rsid w:val="007B6194"/>
    <w:rsid w:val="007C4022"/>
    <w:rsid w:val="00820502"/>
    <w:rsid w:val="00907BE6"/>
    <w:rsid w:val="00913DDB"/>
    <w:rsid w:val="009345F5"/>
    <w:rsid w:val="009A2ECC"/>
    <w:rsid w:val="00A05B43"/>
    <w:rsid w:val="00A06DD9"/>
    <w:rsid w:val="00A24C72"/>
    <w:rsid w:val="00A51A48"/>
    <w:rsid w:val="00A76CFA"/>
    <w:rsid w:val="00A9176C"/>
    <w:rsid w:val="00AB2D1A"/>
    <w:rsid w:val="00AC497C"/>
    <w:rsid w:val="00AD073A"/>
    <w:rsid w:val="00AD481C"/>
    <w:rsid w:val="00AE6EA3"/>
    <w:rsid w:val="00B00F98"/>
    <w:rsid w:val="00B016E1"/>
    <w:rsid w:val="00B13AF5"/>
    <w:rsid w:val="00B2268F"/>
    <w:rsid w:val="00B82DED"/>
    <w:rsid w:val="00B9154C"/>
    <w:rsid w:val="00BF18E3"/>
    <w:rsid w:val="00BF2400"/>
    <w:rsid w:val="00C63AF7"/>
    <w:rsid w:val="00C81650"/>
    <w:rsid w:val="00CD2D6B"/>
    <w:rsid w:val="00D031B8"/>
    <w:rsid w:val="00D3506F"/>
    <w:rsid w:val="00D52FE9"/>
    <w:rsid w:val="00D6176A"/>
    <w:rsid w:val="00D94F5F"/>
    <w:rsid w:val="00DA75D6"/>
    <w:rsid w:val="00E43FB9"/>
    <w:rsid w:val="00E90B11"/>
    <w:rsid w:val="00E9728C"/>
    <w:rsid w:val="00EA17C2"/>
    <w:rsid w:val="00EF43BD"/>
    <w:rsid w:val="00EF5E58"/>
    <w:rsid w:val="00F538FF"/>
    <w:rsid w:val="00F91B96"/>
    <w:rsid w:val="00FA5ABD"/>
    <w:rsid w:val="00FE7D6E"/>
  </w:rsids>
  <m:mathPr>
    <m:mathFont m:val="Cambria Math"/>
    <m:brkBin m:val="before"/>
    <m:brkBinSub m:val="--"/>
    <m:smallFrac m:val="0"/>
    <m:dispDef/>
    <m:lMargin m:val="0"/>
    <m:rMargin m:val="0"/>
    <m:defJc m:val="centerGroup"/>
    <m:wrapIndent m:val="1440"/>
    <m:intLim m:val="subSup"/>
    <m:naryLim m:val="undOvr"/>
  </m:mathPr>
  <w:themeFontLang w:val="hr-HR" w:eastAsia="zh-TW"/>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2AE374D"/>
  <w15:docId w15:val="{D8B1D7CF-5B22-477A-8866-B6884E404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5B057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5B0573"/>
  </w:style>
  <w:style w:type="paragraph" w:styleId="Podnoje">
    <w:name w:val="footer"/>
    <w:basedOn w:val="Normal"/>
    <w:link w:val="PodnojeChar"/>
    <w:uiPriority w:val="99"/>
    <w:unhideWhenUsed/>
    <w:rsid w:val="005B05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B0573"/>
  </w:style>
  <w:style w:type="character" w:customStyle="1" w:styleId="hps">
    <w:name w:val="hps"/>
    <w:basedOn w:val="Zadanifontodlomka"/>
    <w:rsid w:val="00BF18E3"/>
  </w:style>
  <w:style w:type="paragraph" w:styleId="Tekstbalonia">
    <w:name w:val="Balloon Text"/>
    <w:basedOn w:val="Normal"/>
    <w:link w:val="TekstbaloniaChar"/>
    <w:uiPriority w:val="99"/>
    <w:semiHidden/>
    <w:unhideWhenUsed/>
    <w:rsid w:val="00B9154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9154C"/>
    <w:rPr>
      <w:rFonts w:ascii="Tahoma" w:hAnsi="Tahoma" w:cs="Tahoma"/>
      <w:sz w:val="16"/>
      <w:szCs w:val="16"/>
    </w:rPr>
  </w:style>
  <w:style w:type="table" w:styleId="Reetkatablice">
    <w:name w:val="Table Grid"/>
    <w:basedOn w:val="Obinatablica"/>
    <w:uiPriority w:val="59"/>
    <w:rsid w:val="00522B9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D52FE9"/>
    <w:pPr>
      <w:ind w:left="720"/>
      <w:contextualSpacing/>
    </w:pPr>
  </w:style>
  <w:style w:type="character" w:customStyle="1" w:styleId="OdlomakpopisaChar">
    <w:name w:val="Odlomak popisa Char"/>
    <w:link w:val="Odlomakpopisa"/>
    <w:uiPriority w:val="34"/>
    <w:locked/>
    <w:rsid w:val="000958B2"/>
  </w:style>
  <w:style w:type="paragraph" w:styleId="Tekstfusnote">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TekstfusnoteChar"/>
    <w:uiPriority w:val="99"/>
    <w:unhideWhenUsed/>
    <w:qFormat/>
    <w:rsid w:val="000958B2"/>
    <w:pPr>
      <w:spacing w:after="0" w:line="240" w:lineRule="auto"/>
    </w:pPr>
    <w:rPr>
      <w:sz w:val="20"/>
      <w:szCs w:val="20"/>
      <w:lang w:eastAsia="zh-CN"/>
    </w:rPr>
  </w:style>
  <w:style w:type="character" w:customStyle="1" w:styleId="TekstfusnoteChar">
    <w:name w:val="Tekst fusnote Char"/>
    <w:aliases w:val="Fußnotentextf Char,Fußnote Char,stile 1 Char,Footnote Char,Footnote1 Char,Footnote2 Char,Footnote3 Char,Footnote4 Char,Footnote5 Char,Footnote6 Char,Footnote7 Char,Footnote8 Char,Footnote9 Char,Footnote10 Char,Footnote11 Char"/>
    <w:basedOn w:val="Zadanifontodlomka"/>
    <w:link w:val="Tekstfusnote"/>
    <w:uiPriority w:val="99"/>
    <w:rsid w:val="000958B2"/>
    <w:rPr>
      <w:sz w:val="20"/>
      <w:szCs w:val="20"/>
      <w:lang w:eastAsia="zh-CN"/>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link w:val="Char2"/>
    <w:uiPriority w:val="99"/>
    <w:unhideWhenUsed/>
    <w:qFormat/>
    <w:rsid w:val="000958B2"/>
    <w:rPr>
      <w:vertAlign w:val="superscript"/>
    </w:rPr>
  </w:style>
  <w:style w:type="paragraph" w:customStyle="1" w:styleId="Char2">
    <w:name w:val="Char2"/>
    <w:basedOn w:val="Normal"/>
    <w:link w:val="Referencafusnote"/>
    <w:uiPriority w:val="99"/>
    <w:rsid w:val="000958B2"/>
    <w:pPr>
      <w:spacing w:after="160" w:line="240" w:lineRule="exact"/>
    </w:pPr>
    <w:rPr>
      <w:vertAlign w:val="superscript"/>
    </w:rPr>
  </w:style>
  <w:style w:type="character" w:styleId="Hiperveza">
    <w:name w:val="Hyperlink"/>
    <w:basedOn w:val="Zadanifontodlomka"/>
    <w:uiPriority w:val="99"/>
    <w:unhideWhenUsed/>
    <w:rsid w:val="002A2572"/>
    <w:rPr>
      <w:color w:val="0000FF" w:themeColor="hyperlink"/>
      <w:u w:val="single"/>
    </w:rPr>
  </w:style>
  <w:style w:type="paragraph" w:styleId="Bezproreda">
    <w:name w:val="No Spacing"/>
    <w:basedOn w:val="Normal"/>
    <w:uiPriority w:val="1"/>
    <w:qFormat/>
    <w:rsid w:val="00251A41"/>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784">
      <w:bodyDiv w:val="1"/>
      <w:marLeft w:val="0"/>
      <w:marRight w:val="0"/>
      <w:marTop w:val="0"/>
      <w:marBottom w:val="0"/>
      <w:divBdr>
        <w:top w:val="none" w:sz="0" w:space="0" w:color="auto"/>
        <w:left w:val="none" w:sz="0" w:space="0" w:color="auto"/>
        <w:bottom w:val="none" w:sz="0" w:space="0" w:color="auto"/>
        <w:right w:val="none" w:sz="0" w:space="0" w:color="auto"/>
      </w:divBdr>
    </w:div>
    <w:div w:id="79417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dzs.hr/hrv/censuses/census2011/results/censustabshtm.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EE415-D238-40BA-8B55-A03EF2F8B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1230</Words>
  <Characters>7017</Characters>
  <Application>Microsoft Office Word</Application>
  <DocSecurity>0</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Stanec Kovačić</cp:lastModifiedBy>
  <cp:revision>13</cp:revision>
  <dcterms:created xsi:type="dcterms:W3CDTF">2017-05-09T13:01:00Z</dcterms:created>
  <dcterms:modified xsi:type="dcterms:W3CDTF">2018-01-12T11:35:00Z</dcterms:modified>
</cp:coreProperties>
</file>