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B0B7C" w14:textId="4ED1F02E" w:rsidR="006A2554" w:rsidRDefault="004D44CD" w:rsidP="00D75B95">
      <w:pPr>
        <w:tabs>
          <w:tab w:val="left" w:pos="6047"/>
        </w:tabs>
        <w:spacing w:after="0" w:line="240" w:lineRule="auto"/>
        <w:jc w:val="center"/>
        <w:outlineLvl w:val="1"/>
        <w:rPr>
          <w:rFonts w:ascii="Gill Sans MT" w:eastAsia="Times New Roman" w:hAnsi="Gill Sans MT" w:cs="Times New Roman"/>
          <w:b/>
          <w:sz w:val="28"/>
          <w:szCs w:val="24"/>
        </w:rPr>
      </w:pPr>
      <w:bookmarkStart w:id="0" w:name="_GoBack"/>
      <w:bookmarkEnd w:id="0"/>
      <w:r w:rsidRPr="00B72BD0">
        <w:rPr>
          <w:rFonts w:ascii="Gill Sans MT" w:eastAsia="Times New Roman" w:hAnsi="Gill Sans MT" w:cs="Times New Roman"/>
          <w:b/>
          <w:sz w:val="28"/>
          <w:szCs w:val="24"/>
        </w:rPr>
        <w:t>Obrazac</w:t>
      </w:r>
      <w:r w:rsidR="006A2554" w:rsidRPr="00B72BD0">
        <w:rPr>
          <w:rFonts w:ascii="Gill Sans MT" w:eastAsia="Times New Roman" w:hAnsi="Gill Sans MT" w:cs="Times New Roman"/>
          <w:b/>
          <w:sz w:val="28"/>
          <w:szCs w:val="24"/>
        </w:rPr>
        <w:t xml:space="preserve"> </w:t>
      </w:r>
      <w:r w:rsidR="00CE7681" w:rsidRPr="00B72BD0">
        <w:rPr>
          <w:rFonts w:ascii="Gill Sans MT" w:eastAsia="Times New Roman" w:hAnsi="Gill Sans MT" w:cs="Times New Roman"/>
          <w:b/>
          <w:sz w:val="28"/>
          <w:szCs w:val="24"/>
        </w:rPr>
        <w:t>za ocjenjivanje kvalitete</w:t>
      </w:r>
    </w:p>
    <w:p w14:paraId="513BEB32" w14:textId="77777777" w:rsidR="00930136" w:rsidRPr="00930136" w:rsidRDefault="00930136" w:rsidP="00930136">
      <w:pPr>
        <w:tabs>
          <w:tab w:val="left" w:pos="6047"/>
        </w:tabs>
        <w:spacing w:after="0" w:line="240" w:lineRule="auto"/>
        <w:jc w:val="center"/>
        <w:outlineLvl w:val="1"/>
        <w:rPr>
          <w:rFonts w:ascii="Gill Sans MT" w:eastAsia="Times New Roman" w:hAnsi="Gill Sans MT" w:cs="Times New Roman"/>
          <w:b/>
          <w:color w:val="FF0000"/>
          <w:sz w:val="24"/>
          <w:szCs w:val="24"/>
        </w:rPr>
      </w:pPr>
      <w:r w:rsidRPr="00930136">
        <w:rPr>
          <w:rFonts w:ascii="Gill Sans MT" w:eastAsia="Times New Roman" w:hAnsi="Gill Sans MT" w:cs="Times New Roman"/>
          <w:b/>
          <w:color w:val="FF0000"/>
          <w:sz w:val="24"/>
          <w:szCs w:val="24"/>
        </w:rPr>
        <w:t>Napomena: Obrazac je namijenjen kao pomoć u tijeku ocjenjivanja projektnog prijedloga;</w:t>
      </w:r>
    </w:p>
    <w:p w14:paraId="0B9EAE67" w14:textId="02BAB0A3" w:rsidR="00930136" w:rsidRPr="00930136" w:rsidRDefault="00930136" w:rsidP="00930136">
      <w:pPr>
        <w:tabs>
          <w:tab w:val="left" w:pos="6047"/>
        </w:tabs>
        <w:spacing w:after="0" w:line="240" w:lineRule="auto"/>
        <w:jc w:val="center"/>
        <w:outlineLvl w:val="1"/>
        <w:rPr>
          <w:rFonts w:ascii="Gill Sans MT" w:eastAsia="Times New Roman" w:hAnsi="Gill Sans MT" w:cs="Times New Roman"/>
          <w:b/>
          <w:color w:val="FF0000"/>
          <w:sz w:val="24"/>
          <w:szCs w:val="24"/>
        </w:rPr>
      </w:pPr>
      <w:r w:rsidRPr="00930136">
        <w:rPr>
          <w:rFonts w:ascii="Gill Sans MT" w:eastAsia="Times New Roman" w:hAnsi="Gill Sans MT" w:cs="Times New Roman"/>
          <w:b/>
          <w:color w:val="FF0000"/>
          <w:sz w:val="24"/>
          <w:szCs w:val="24"/>
        </w:rPr>
        <w:t>Prijavitelji Obrazac ne prilažu (ne dostavljaju) u sklopu projektnog prijedloga.</w:t>
      </w:r>
    </w:p>
    <w:p w14:paraId="0C1B0FC3" w14:textId="77777777" w:rsidR="00D75B95" w:rsidRPr="00B72BD0" w:rsidRDefault="00D75B95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/>
          <w:bCs/>
          <w:iCs/>
          <w:sz w:val="24"/>
          <w:szCs w:val="24"/>
        </w:rPr>
      </w:pPr>
    </w:p>
    <w:p w14:paraId="36B45D41" w14:textId="0BF88430" w:rsidR="00CE7681" w:rsidRPr="00B72BD0" w:rsidRDefault="00CE7681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/>
          <w:bCs/>
          <w:iCs/>
          <w:sz w:val="24"/>
          <w:szCs w:val="24"/>
        </w:rPr>
      </w:pPr>
      <w:r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O</w:t>
      </w:r>
      <w:r w:rsidR="00A725DA"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perativni program</w:t>
      </w:r>
      <w:r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 xml:space="preserve"> Konkurentnost i kohezija 2014.-2020.</w:t>
      </w:r>
    </w:p>
    <w:p w14:paraId="406A4BD9" w14:textId="1B6B7ED3" w:rsidR="007F08EF" w:rsidRPr="00B72BD0" w:rsidRDefault="00CE7681" w:rsidP="00A725DA">
      <w:pPr>
        <w:tabs>
          <w:tab w:val="left" w:pos="297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/>
          <w:bCs/>
          <w:iCs/>
          <w:sz w:val="24"/>
          <w:szCs w:val="24"/>
        </w:rPr>
      </w:pPr>
      <w:r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Prioritetna os</w:t>
      </w:r>
      <w:r w:rsidR="007F08EF"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:</w:t>
      </w:r>
      <w:r w:rsidR="00A725DA"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ab/>
      </w:r>
      <w:r w:rsidR="007F08EF" w:rsidRPr="00B72BD0">
        <w:rPr>
          <w:rFonts w:ascii="Gill Sans MT" w:eastAsia="Cambria" w:hAnsi="Gill Sans MT" w:cs="Times New Roman"/>
          <w:bCs/>
          <w:iCs/>
          <w:sz w:val="24"/>
          <w:szCs w:val="24"/>
        </w:rPr>
        <w:t>P</w:t>
      </w:r>
      <w:r w:rsidR="002513D2" w:rsidRPr="00B72BD0">
        <w:rPr>
          <w:rFonts w:ascii="Gill Sans MT" w:eastAsia="Cambria" w:hAnsi="Gill Sans MT" w:cs="Times New Roman"/>
          <w:bCs/>
          <w:iCs/>
          <w:sz w:val="24"/>
          <w:szCs w:val="24"/>
        </w:rPr>
        <w:t xml:space="preserve">O </w:t>
      </w:r>
      <w:r w:rsidR="007F08EF" w:rsidRPr="00B72BD0">
        <w:rPr>
          <w:rFonts w:ascii="Gill Sans MT" w:eastAsia="Cambria" w:hAnsi="Gill Sans MT" w:cs="Times New Roman"/>
          <w:bCs/>
          <w:iCs/>
          <w:sz w:val="24"/>
          <w:szCs w:val="24"/>
        </w:rPr>
        <w:t>6 – Zaštita okoliša i održivost resursa</w:t>
      </w:r>
    </w:p>
    <w:p w14:paraId="48EC9760" w14:textId="04A39E9C" w:rsidR="00CE7681" w:rsidRPr="00B72BD0" w:rsidRDefault="00A56BF6" w:rsidP="00A725DA">
      <w:pPr>
        <w:tabs>
          <w:tab w:val="left" w:pos="297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Cs/>
          <w:iCs/>
          <w:sz w:val="24"/>
          <w:szCs w:val="24"/>
        </w:rPr>
      </w:pPr>
      <w:r w:rsidRPr="00A56BF6">
        <w:rPr>
          <w:rFonts w:ascii="Gill Sans MT" w:eastAsia="Cambria" w:hAnsi="Gill Sans MT" w:cs="Times New Roman"/>
          <w:b/>
          <w:bCs/>
          <w:iCs/>
          <w:sz w:val="24"/>
          <w:szCs w:val="24"/>
        </w:rPr>
        <w:t>Postupak d</w:t>
      </w:r>
      <w:r>
        <w:rPr>
          <w:rFonts w:ascii="Gill Sans MT" w:eastAsia="Cambria" w:hAnsi="Gill Sans MT" w:cs="Times New Roman"/>
          <w:b/>
          <w:bCs/>
          <w:iCs/>
          <w:sz w:val="24"/>
          <w:szCs w:val="24"/>
        </w:rPr>
        <w:t>odjele / projekt i kod projekta</w:t>
      </w:r>
      <w:r w:rsidR="00A725DA"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ab/>
      </w:r>
      <w:r w:rsidR="00CE7681" w:rsidRPr="00B72BD0">
        <w:rPr>
          <w:rFonts w:ascii="Gill Sans MT" w:eastAsia="Cambria" w:hAnsi="Gill Sans MT" w:cs="Times New Roman"/>
          <w:bCs/>
          <w:iCs/>
          <w:sz w:val="24"/>
          <w:szCs w:val="24"/>
        </w:rPr>
        <w:t>&lt;...</w:t>
      </w:r>
      <w:r w:rsidR="00CE7681" w:rsidRPr="00B72BD0">
        <w:rPr>
          <w:rFonts w:ascii="Gill Sans MT" w:eastAsia="Cambria" w:hAnsi="Gill Sans MT" w:cs="Times New Roman"/>
          <w:bCs/>
          <w:i/>
          <w:iCs/>
          <w:sz w:val="24"/>
          <w:szCs w:val="24"/>
        </w:rPr>
        <w:t>naziv</w:t>
      </w:r>
      <w:r w:rsidR="00CE7681" w:rsidRPr="00B72BD0">
        <w:rPr>
          <w:rFonts w:ascii="Gill Sans MT" w:eastAsia="Cambria" w:hAnsi="Gill Sans MT" w:cs="Times New Roman"/>
          <w:bCs/>
          <w:iCs/>
          <w:sz w:val="24"/>
          <w:szCs w:val="24"/>
        </w:rPr>
        <w:t>...&gt;</w:t>
      </w:r>
    </w:p>
    <w:p w14:paraId="37782C05" w14:textId="06EF0682" w:rsidR="00B623BF" w:rsidRPr="00B72BD0" w:rsidRDefault="00B623BF" w:rsidP="00A725DA">
      <w:pPr>
        <w:tabs>
          <w:tab w:val="left" w:pos="297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Cs/>
          <w:iCs/>
          <w:sz w:val="24"/>
          <w:szCs w:val="24"/>
        </w:rPr>
      </w:pPr>
      <w:r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Prijavitelj</w:t>
      </w:r>
      <w:r w:rsidR="00A725DA" w:rsidRPr="00B72BD0">
        <w:rPr>
          <w:rFonts w:ascii="Gill Sans MT" w:eastAsia="Cambria" w:hAnsi="Gill Sans MT" w:cs="Times New Roman"/>
          <w:b/>
          <w:bCs/>
          <w:iCs/>
          <w:sz w:val="24"/>
          <w:szCs w:val="24"/>
        </w:rPr>
        <w:t>:</w:t>
      </w:r>
      <w:r w:rsidR="00A725DA" w:rsidRPr="00B72BD0">
        <w:rPr>
          <w:rFonts w:ascii="Gill Sans MT" w:eastAsia="Cambria" w:hAnsi="Gill Sans MT" w:cs="Times New Roman"/>
          <w:bCs/>
          <w:iCs/>
          <w:sz w:val="24"/>
          <w:szCs w:val="24"/>
        </w:rPr>
        <w:tab/>
      </w:r>
      <w:r w:rsidRPr="00B72BD0">
        <w:rPr>
          <w:rFonts w:ascii="Gill Sans MT" w:eastAsia="Cambria" w:hAnsi="Gill Sans MT" w:cs="Times New Roman"/>
          <w:bCs/>
          <w:iCs/>
          <w:sz w:val="24"/>
          <w:szCs w:val="24"/>
        </w:rPr>
        <w:t>&lt;...</w:t>
      </w:r>
      <w:r w:rsidRPr="00B72BD0">
        <w:rPr>
          <w:rFonts w:ascii="Gill Sans MT" w:eastAsia="Cambria" w:hAnsi="Gill Sans MT" w:cs="Times New Roman"/>
          <w:bCs/>
          <w:i/>
          <w:iCs/>
          <w:sz w:val="24"/>
          <w:szCs w:val="24"/>
        </w:rPr>
        <w:t>naziv</w:t>
      </w:r>
      <w:r w:rsidRPr="00B72BD0">
        <w:rPr>
          <w:rFonts w:ascii="Gill Sans MT" w:eastAsia="Cambria" w:hAnsi="Gill Sans MT" w:cs="Times New Roman"/>
          <w:bCs/>
          <w:iCs/>
          <w:sz w:val="24"/>
          <w:szCs w:val="24"/>
        </w:rPr>
        <w:t>...&gt;</w:t>
      </w:r>
    </w:p>
    <w:p w14:paraId="11A13BE9" w14:textId="77777777" w:rsidR="00D75B95" w:rsidRPr="00B72BD0" w:rsidRDefault="00D75B95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eastAsia="Cambria" w:hAnsi="Gill Sans MT" w:cs="Times New Roman"/>
          <w:bCs/>
          <w:iCs/>
          <w:sz w:val="24"/>
          <w:szCs w:val="24"/>
        </w:rPr>
      </w:pPr>
    </w:p>
    <w:tbl>
      <w:tblPr>
        <w:tblStyle w:val="Reetkatablice3"/>
        <w:tblW w:w="4582" w:type="pct"/>
        <w:tblLook w:val="04A0" w:firstRow="1" w:lastRow="0" w:firstColumn="1" w:lastColumn="0" w:noHBand="0" w:noVBand="1"/>
      </w:tblPr>
      <w:tblGrid>
        <w:gridCol w:w="423"/>
        <w:gridCol w:w="4105"/>
        <w:gridCol w:w="4105"/>
        <w:gridCol w:w="1952"/>
        <w:gridCol w:w="2498"/>
      </w:tblGrid>
      <w:tr w:rsidR="00945D3D" w:rsidRPr="00945D3D" w14:paraId="0FC89B30" w14:textId="77777777" w:rsidTr="00945D3D">
        <w:trPr>
          <w:tblHeader/>
        </w:trPr>
        <w:tc>
          <w:tcPr>
            <w:tcW w:w="249" w:type="pct"/>
            <w:shd w:val="clear" w:color="auto" w:fill="BFBFBF"/>
            <w:vAlign w:val="center"/>
          </w:tcPr>
          <w:p w14:paraId="3110C79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BC649F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Kriterij odabira i pitanja za kvalitativnu procjenu</w:t>
            </w:r>
          </w:p>
        </w:tc>
        <w:tc>
          <w:tcPr>
            <w:tcW w:w="1656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10F8B1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Bodovna vrijednost uz izjavu /opis pripadajućih situacija</w:t>
            </w:r>
          </w:p>
        </w:tc>
        <w:tc>
          <w:tcPr>
            <w:tcW w:w="833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C5740B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Ostvarena ocjena / max. ostvariva ocjena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7A5AFDD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Referenca na izvor za provjeru</w:t>
            </w:r>
          </w:p>
        </w:tc>
      </w:tr>
      <w:tr w:rsidR="00945D3D" w:rsidRPr="00945D3D" w14:paraId="4DEB3915" w14:textId="77777777" w:rsidTr="00945D3D">
        <w:trPr>
          <w:trHeight w:val="585"/>
        </w:trPr>
        <w:tc>
          <w:tcPr>
            <w:tcW w:w="249" w:type="pct"/>
            <w:vMerge w:val="restart"/>
            <w:shd w:val="clear" w:color="auto" w:fill="BFBFBF"/>
            <w:vAlign w:val="center"/>
          </w:tcPr>
          <w:p w14:paraId="1DF64CF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4751" w:type="pct"/>
            <w:gridSpan w:val="4"/>
            <w:shd w:val="clear" w:color="auto" w:fill="B0CB1F"/>
            <w:vAlign w:val="center"/>
          </w:tcPr>
          <w:p w14:paraId="0CF27E7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Vrijednost za novac koju projekt nudi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(u kontekstu ostvarenja ciljeva PDP-a, odnosi se na kvantificirani omjer troška potrebnog za postizanje ciljanih vrijednosti pokazatelja neposrednih rezultata/rezultata, utvrđenih na razini sheme/predmetnog postupka dodjele)</w:t>
            </w:r>
          </w:p>
        </w:tc>
      </w:tr>
      <w:tr w:rsidR="00945D3D" w:rsidRPr="00945D3D" w14:paraId="2FBA30E1" w14:textId="77777777" w:rsidTr="00945D3D">
        <w:trPr>
          <w:trHeight w:val="850"/>
        </w:trPr>
        <w:tc>
          <w:tcPr>
            <w:tcW w:w="249" w:type="pct"/>
            <w:vMerge/>
            <w:shd w:val="clear" w:color="auto" w:fill="BFBFBF"/>
            <w:vAlign w:val="center"/>
          </w:tcPr>
          <w:p w14:paraId="53F9B2E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2D50D3FC" w14:textId="40589DC0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1.1.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Opravdanost troškova projektnih aktivnosti</w:t>
            </w:r>
          </w:p>
          <w:p w14:paraId="10E1276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  <w:p w14:paraId="28B0EDB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Procjena planiranih troškova mora biti odgovarajuće utemeljena i obrazložena.</w:t>
            </w:r>
          </w:p>
          <w:p w14:paraId="269B41E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vAlign w:val="center"/>
          </w:tcPr>
          <w:p w14:paraId="2D3CAB1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5 bodova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: procijenjeni iznos (vrijednost) za većinu (više od 50% stavki troškova iz Obrasca 6.)  utemeljen/izračunat je na osnovu 4 i više ponuda i/ili linkova na odgovarajuće web stranice na kojima se nalazi cjenik za slične aktivnosti/usluge</w:t>
            </w:r>
          </w:p>
          <w:p w14:paraId="0B7B64B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17D3D3D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3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procijenjeni iznos (vrijednost) za većinu (više od 50% stavki troškova iz Obrasca 6.)  utemeljen/izračunat je na osnovu 3 ponude i/ili linkova na odgovarajuće web stranice na kojoj se nalazi cjenik za slične aktivnosti/usluge </w:t>
            </w:r>
          </w:p>
          <w:p w14:paraId="3473AA2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5452ED4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lastRenderedPageBreak/>
              <w:t>0 bodova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: procijenjeni iznos (vrijednost) stavki troškova iz Obrasca 6.  utemeljen/izračunat je na osnovu minimalno 2 ponude i/ili linka odgovarajućih web stranica na kojoj se nalazi cjenik za slične aktivnosti/usluge </w:t>
            </w:r>
          </w:p>
          <w:p w14:paraId="0C65EAE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3CF2650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607" w:type="pct"/>
            <w:vAlign w:val="center"/>
          </w:tcPr>
          <w:p w14:paraId="3A1AC31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6 - Troškovnik s referencama/ponudama</w:t>
            </w:r>
          </w:p>
        </w:tc>
      </w:tr>
      <w:tr w:rsidR="00A56BF6" w:rsidRPr="00945D3D" w14:paraId="064267DE" w14:textId="77777777" w:rsidTr="00A56BF6">
        <w:trPr>
          <w:trHeight w:val="601"/>
        </w:trPr>
        <w:tc>
          <w:tcPr>
            <w:tcW w:w="249" w:type="pct"/>
            <w:shd w:val="clear" w:color="auto" w:fill="BFBFBF"/>
            <w:vAlign w:val="center"/>
          </w:tcPr>
          <w:p w14:paraId="0FD159DC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6D710E68" w14:textId="607E6C31" w:rsidR="00A56BF6" w:rsidRP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  <w:vAlign w:val="center"/>
          </w:tcPr>
          <w:p w14:paraId="2542A28B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08628498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46856361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287CCBD5" w14:textId="77777777" w:rsidTr="00945D3D">
        <w:trPr>
          <w:trHeight w:val="567"/>
        </w:trPr>
        <w:tc>
          <w:tcPr>
            <w:tcW w:w="249" w:type="pct"/>
            <w:vMerge w:val="restart"/>
            <w:shd w:val="clear" w:color="auto" w:fill="BFBFBF"/>
            <w:vAlign w:val="center"/>
          </w:tcPr>
          <w:p w14:paraId="14F1E91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4751" w:type="pct"/>
            <w:gridSpan w:val="4"/>
            <w:shd w:val="clear" w:color="auto" w:fill="B0CB1F"/>
            <w:vAlign w:val="center"/>
          </w:tcPr>
          <w:p w14:paraId="1F8766B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Financijska održivost projekta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(odnosi se na strategiju financiranja tijekom provedbe predmetnog projekta)</w:t>
            </w:r>
          </w:p>
        </w:tc>
      </w:tr>
      <w:tr w:rsidR="00945D3D" w:rsidRPr="00945D3D" w14:paraId="625C1A6C" w14:textId="77777777" w:rsidTr="00945D3D">
        <w:trPr>
          <w:trHeight w:val="850"/>
        </w:trPr>
        <w:tc>
          <w:tcPr>
            <w:tcW w:w="249" w:type="pct"/>
            <w:vMerge/>
            <w:shd w:val="clear" w:color="auto" w:fill="BFBFBF"/>
            <w:vAlign w:val="center"/>
          </w:tcPr>
          <w:p w14:paraId="56A4712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7D970AD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2.1. Osiguranje sredstava Prijavitelja za provedbu projekta </w:t>
            </w:r>
          </w:p>
          <w:p w14:paraId="2688A49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je dokazao da će osigurati iz vlastitih i/ili drugih izvora sredstva za financiranje razlike između iznosa ukupnih prihvatljivih izdataka projekta i maksimalnog iznosa bespovratnih sredstava koji mogu biti dodijeljeni za financiranje prihvatljivih izdataka u okviru ovog Poziva, te neprihvatljive projektne troškove.</w:t>
            </w:r>
          </w:p>
        </w:tc>
        <w:tc>
          <w:tcPr>
            <w:tcW w:w="1656" w:type="pct"/>
          </w:tcPr>
          <w:p w14:paraId="631FFD4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3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prijavitelj već ima osigurana sredstva za provedbu projekta </w:t>
            </w:r>
          </w:p>
          <w:p w14:paraId="5D43F89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13A3848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1 bod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: prijavitelj je preuzeo obvezu da će najkasnije do početka provedbe projekta osigurati sredstva</w:t>
            </w:r>
          </w:p>
          <w:p w14:paraId="031F1AB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5B4F92E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07" w:type="pct"/>
            <w:vAlign w:val="center"/>
          </w:tcPr>
          <w:p w14:paraId="16C36DE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5 - Izjava prijavitelja o osiguranju vlastitog udjela sufinanciranja</w:t>
            </w:r>
          </w:p>
        </w:tc>
      </w:tr>
      <w:tr w:rsidR="00A56BF6" w:rsidRPr="00945D3D" w14:paraId="2F86BD34" w14:textId="77777777" w:rsidTr="00A56BF6">
        <w:trPr>
          <w:trHeight w:val="623"/>
        </w:trPr>
        <w:tc>
          <w:tcPr>
            <w:tcW w:w="249" w:type="pct"/>
            <w:shd w:val="clear" w:color="auto" w:fill="BFBFBF"/>
            <w:vAlign w:val="center"/>
          </w:tcPr>
          <w:p w14:paraId="222B9415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7CDCB082" w14:textId="259A3520" w:rsidR="00A56BF6" w:rsidRPr="00A56BF6" w:rsidRDefault="00A56BF6" w:rsidP="00A56BF6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</w:tcPr>
          <w:p w14:paraId="396C64FC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0E6AF7D5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38B26984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406B898C" w14:textId="77777777" w:rsidTr="00945D3D">
        <w:tc>
          <w:tcPr>
            <w:tcW w:w="249" w:type="pct"/>
            <w:vMerge w:val="restart"/>
            <w:shd w:val="clear" w:color="auto" w:fill="BFBFBF"/>
            <w:vAlign w:val="center"/>
          </w:tcPr>
          <w:p w14:paraId="026E837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4751" w:type="pct"/>
            <w:gridSpan w:val="4"/>
            <w:shd w:val="clear" w:color="auto" w:fill="B0CB1F"/>
          </w:tcPr>
          <w:p w14:paraId="64B64B1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Provedbeni kapaciteti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prijavitelja (uključuju aspekte financijskih, stručnih, iskustvenih i administrativnih kapaciteta)</w:t>
            </w:r>
          </w:p>
        </w:tc>
      </w:tr>
      <w:tr w:rsidR="00945D3D" w:rsidRPr="00945D3D" w14:paraId="7EAE9313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7888A8A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2DBC1FD6" w14:textId="360D8FA0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3.1.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Stručni kapacitet za provedbu projekta</w:t>
            </w:r>
          </w:p>
          <w:p w14:paraId="251E1BB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ima odgovarajuće vlastite kapacitete za provedbu projekta (voditelj projekta s najmanje 2 godine iskustva u vođenju projekata i osoba za računovodstvo i/ili financije i/ili administraciju s najmanje 3 godine radnog iskustva). Ako u trenutku predaje projektnog prijedloga prijavitelj nema imenovani cjeloviti projektni tim, kao dokaz sposobnosti za provedbu projekta mora dostaviti Izjavu da će najkasnije do trenutka potpisivanja Ugovora o dodjeli bespovratnih sredstava osigurati projektni tim za provedbu projekta.</w:t>
            </w:r>
          </w:p>
        </w:tc>
        <w:tc>
          <w:tcPr>
            <w:tcW w:w="1656" w:type="pct"/>
          </w:tcPr>
          <w:p w14:paraId="0F197C6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5 bodova: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prijavitelj već ima imenovana 2 obvezna člana projektnog tima za provedbu projekta</w:t>
            </w:r>
          </w:p>
          <w:p w14:paraId="5FC5E46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45D8996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3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prijavitelj ima imenovanog 1 obveznog člana projektnog tima za provedbu projekta</w:t>
            </w:r>
          </w:p>
          <w:p w14:paraId="2182485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1E1EA48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0 bodova: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prijavitelj je dostavio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Izjavu da će najkasnije do trenutka potpisivanja Ugovora o dodjeli bespovratnih sredstava osigurati projektni tim za provedbu projekta</w:t>
            </w:r>
          </w:p>
        </w:tc>
        <w:tc>
          <w:tcPr>
            <w:tcW w:w="833" w:type="pct"/>
            <w:vAlign w:val="center"/>
          </w:tcPr>
          <w:p w14:paraId="189A7DE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7" w:type="pct"/>
            <w:vAlign w:val="center"/>
          </w:tcPr>
          <w:p w14:paraId="79DBC20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obrazac, Odluka o imenovanju projektnog tima i kratki životopisi članova projektnog tima kojima se dokazuje zadovoljavanje uvjeta iz točke 2.5. ovih Uputa ili Izjava prijavitelja da će najkasnije do trenutka potpisivanja Ugovora o dodjeli bespovratnih sredstava osigurati projektni tim za provedbu projekta.</w:t>
            </w:r>
          </w:p>
        </w:tc>
      </w:tr>
      <w:tr w:rsidR="00945D3D" w:rsidRPr="00945D3D" w14:paraId="0340174E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0A4D43B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512B1759" w14:textId="1740C02E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3.2. </w:t>
            </w:r>
            <w:r w:rsidR="00945D3D"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Doprinos stvaranju novih radnih mjesta odnosno poslova </w:t>
            </w:r>
          </w:p>
          <w:p w14:paraId="0A9B07C1" w14:textId="44C2E983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Provedbom projekta doprinijeti će se stvaranju novih privremenih ili trajnih radnih mjesta odnosno poslova</w:t>
            </w:r>
          </w:p>
        </w:tc>
        <w:tc>
          <w:tcPr>
            <w:tcW w:w="1656" w:type="pct"/>
          </w:tcPr>
          <w:p w14:paraId="788533B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5 bodova: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najmanje dva stvorena nova radna mjesta/poslova kao izravna posljedica provedbe projekta</w:t>
            </w:r>
          </w:p>
          <w:p w14:paraId="291E64C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0E0BEF1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3 boda: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najmanje jedno stvoreno novo radno mjesto/posao kao izravna posljedica provedbe projekta</w:t>
            </w:r>
          </w:p>
          <w:p w14:paraId="7AE0414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083577F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</w:tcPr>
          <w:p w14:paraId="0649297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7" w:type="pct"/>
            <w:vAlign w:val="center"/>
          </w:tcPr>
          <w:p w14:paraId="3FC853B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Obrazac 1 – Prijavni obrazac </w:t>
            </w:r>
          </w:p>
        </w:tc>
      </w:tr>
      <w:tr w:rsidR="00A56BF6" w:rsidRPr="00945D3D" w14:paraId="38E54293" w14:textId="77777777" w:rsidTr="00945D3D">
        <w:tc>
          <w:tcPr>
            <w:tcW w:w="249" w:type="pct"/>
            <w:shd w:val="clear" w:color="auto" w:fill="BFBFBF"/>
            <w:vAlign w:val="center"/>
          </w:tcPr>
          <w:p w14:paraId="12DE7821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5C548B88" w14:textId="77777777" w:rsidR="00A56BF6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ab/>
            </w:r>
          </w:p>
          <w:p w14:paraId="7BB34AA6" w14:textId="7E068CCD" w:rsidR="00A56BF6" w:rsidRPr="00A56BF6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</w:tcPr>
          <w:p w14:paraId="2843B925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</w:tcPr>
          <w:p w14:paraId="49227737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4A444A5A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6435DC6D" w14:textId="77777777" w:rsidTr="00945D3D">
        <w:tc>
          <w:tcPr>
            <w:tcW w:w="249" w:type="pct"/>
            <w:vMerge w:val="restart"/>
            <w:shd w:val="clear" w:color="auto" w:fill="BFBFBF"/>
            <w:vAlign w:val="center"/>
          </w:tcPr>
          <w:p w14:paraId="4CCAC8E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4751" w:type="pct"/>
            <w:gridSpan w:val="4"/>
            <w:shd w:val="clear" w:color="auto" w:fill="B0CB1F"/>
          </w:tcPr>
          <w:p w14:paraId="1A8B11C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Dizajn i zrelost projekta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(odnosi se na (1) utvrđivanje potrebe odnosno problemskog stanja koje projekt rješava te opis željenog stanja, (2) internu intervencijsku logiku projekta i provjerljivost pokazatelja kojima se treba potvrditi ostvarenje ciljanih vrijednosti – pokazatelji moraju biti racionalni, odgovarajuće vrste i iz pouzdanih izvora, i (3) spremnost za početak provedbe svih odgovarajućih komponenti projekta; obuhvaća pravne, tehničke i organizacijske aspekte</w:t>
            </w:r>
          </w:p>
        </w:tc>
      </w:tr>
      <w:tr w:rsidR="00945D3D" w:rsidRPr="00945D3D" w14:paraId="165A3233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0156395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63E255C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4.1. Odgovarajuća spremnost projekta</w:t>
            </w:r>
          </w:p>
          <w:p w14:paraId="7D00D22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mora biti spreman započeti s provedbom aktivnosti projekta, uključujući pokretanje postupaka javne nabave relevantnih za pravovremenu provedbu aktivnosti, u skladu s planom aktivnosti u Prijavnom obrascu i ostaloj projektnoj dokumentaciji.</w:t>
            </w:r>
          </w:p>
        </w:tc>
        <w:tc>
          <w:tcPr>
            <w:tcW w:w="1656" w:type="pct"/>
          </w:tcPr>
          <w:p w14:paraId="238C512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5 bodova: </w:t>
            </w:r>
          </w:p>
          <w:p w14:paraId="59123D9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prijavitelj već ima pripremljenu cjelovitu dokumentaciju za nadmetanje za provedbu planiranih aktivnosti iz komunikacijskog plana</w:t>
            </w:r>
          </w:p>
          <w:p w14:paraId="2BD12CA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12AA22D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2407395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hAnsi="Gill Sans MT"/>
                <w:b/>
                <w:sz w:val="24"/>
                <w:szCs w:val="24"/>
                <w:lang w:eastAsia="zh-CN"/>
              </w:rPr>
              <w:t>0 bodova</w:t>
            </w:r>
            <w:r w:rsidRPr="00945D3D">
              <w:rPr>
                <w:rFonts w:ascii="Gill Sans MT" w:hAnsi="Gill Sans MT"/>
                <w:sz w:val="24"/>
                <w:szCs w:val="24"/>
                <w:lang w:eastAsia="zh-CN"/>
              </w:rPr>
              <w:t xml:space="preserve"> – prijavitelj nema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pripremljenu cjelovitu dokumentaciju za nadmetanje za provedbu planiranih aktivnosti iz komunikacijskog plana</w:t>
            </w:r>
          </w:p>
          <w:p w14:paraId="4430ABE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1A3EC3B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74E5EE7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7" w:type="pct"/>
            <w:vAlign w:val="center"/>
          </w:tcPr>
          <w:p w14:paraId="33F9EF3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2 – Komunikacijski plan, i ako je primjenjivo, dokumentacija za nadmetanje za provedbu planiranih aktivnosti iz komunikacijskog plana</w:t>
            </w:r>
          </w:p>
        </w:tc>
      </w:tr>
      <w:tr w:rsidR="00945D3D" w:rsidRPr="00945D3D" w14:paraId="553754A5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1D448A9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6986C32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4.2. Planirani raspored provedbe izobrazno-informativnih aktivnosti</w:t>
            </w:r>
          </w:p>
          <w:p w14:paraId="71F9EE1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Kriterij ocjenjuje kontinuiranost u provedbi izobrazno-informativnih aktivnosti u svrhu informiranja što većeg broja građana o pravilnom postupanju s otpadom.</w:t>
            </w:r>
          </w:p>
        </w:tc>
        <w:tc>
          <w:tcPr>
            <w:tcW w:w="1656" w:type="pct"/>
          </w:tcPr>
          <w:p w14:paraId="1C2F94F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5 bodova: </w:t>
            </w:r>
          </w:p>
          <w:p w14:paraId="6871980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projektni prijedlog predviđa provedbu izobrazno-informativnih aktivnosti u više ponavljajućih ciklusa</w:t>
            </w:r>
          </w:p>
          <w:p w14:paraId="68E1FA0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404245F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3 boda: </w:t>
            </w:r>
          </w:p>
          <w:p w14:paraId="498424D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projektni prijedlog predviđa provedbu izobrazno-informativnih aktivnosti jednokratno</w:t>
            </w:r>
          </w:p>
          <w:p w14:paraId="6D86712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59B084B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07" w:type="pct"/>
            <w:vAlign w:val="center"/>
          </w:tcPr>
          <w:p w14:paraId="63E14C4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Obrazac 2 – Komunikacijski plan </w:t>
            </w:r>
          </w:p>
        </w:tc>
      </w:tr>
      <w:tr w:rsidR="00A56BF6" w:rsidRPr="00945D3D" w14:paraId="5E263D0C" w14:textId="77777777" w:rsidTr="00945D3D">
        <w:tc>
          <w:tcPr>
            <w:tcW w:w="249" w:type="pct"/>
            <w:shd w:val="clear" w:color="auto" w:fill="BFBFBF"/>
            <w:vAlign w:val="center"/>
          </w:tcPr>
          <w:p w14:paraId="7B036E27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77DAE1B0" w14:textId="77777777" w:rsid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  <w:p w14:paraId="4DA5B951" w14:textId="38E30245" w:rsidR="00A56BF6" w:rsidRP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</w:tcPr>
          <w:p w14:paraId="69C328AC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7EFC3CED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2DBA4643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</w:p>
        </w:tc>
      </w:tr>
      <w:tr w:rsidR="00945D3D" w:rsidRPr="00945D3D" w14:paraId="2E1EA6B1" w14:textId="77777777" w:rsidTr="00945D3D">
        <w:tc>
          <w:tcPr>
            <w:tcW w:w="249" w:type="pct"/>
            <w:vMerge w:val="restart"/>
            <w:shd w:val="clear" w:color="auto" w:fill="BFBFBF"/>
            <w:vAlign w:val="center"/>
          </w:tcPr>
          <w:p w14:paraId="46B7218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4751" w:type="pct"/>
            <w:gridSpan w:val="4"/>
            <w:shd w:val="clear" w:color="auto" w:fill="B0CB1F"/>
          </w:tcPr>
          <w:p w14:paraId="7A8DD48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Promicanje jednakih mogućnosti i socijalne uključenosti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(uključuje aspekt promicanja</w:t>
            </w: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ravnopravnosti žena i muškaraca te zabranu diskriminacije po bilo kojoj osnovi)</w:t>
            </w:r>
          </w:p>
        </w:tc>
      </w:tr>
      <w:tr w:rsidR="00945D3D" w:rsidRPr="00945D3D" w14:paraId="2E66AFDF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68EDACF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01106ED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5.1. Doprinos provedbi mjera promicanja ravnopravnosti spolova, jednakih mogućnosti i socijalne uključenosti osjetljivih društvenih skupina</w:t>
            </w:r>
          </w:p>
          <w:p w14:paraId="6E783CE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uključuje aktivnosti  promicanja jednakih mogućnosti i socijalne uključenosti (npr. pozitivne mjere za uklanjanje rodnih i ostalih diskriminatornih stereotipa iz informativnih i komunikacijskih aktivnosti, izobrazno-informativni materijali na jezicima i pismu nacionalnih manjina i sl.)</w:t>
            </w:r>
          </w:p>
        </w:tc>
        <w:tc>
          <w:tcPr>
            <w:tcW w:w="1656" w:type="pct"/>
          </w:tcPr>
          <w:p w14:paraId="15C4BF1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2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projekt uključuje dvije ili više aktivnosti koje promoviraju jednake mogućnosti i socijalnu uključenost </w:t>
            </w:r>
          </w:p>
          <w:p w14:paraId="37E28BB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  <w:p w14:paraId="091719E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1 bod: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projekt uključuje jednu aktivnost koja promovira jednake mogućnosti i socijalnu uključenost </w:t>
            </w:r>
          </w:p>
          <w:p w14:paraId="5649FA7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6F1A02D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0 bodova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: projekt ne uključuje aktivnosti koje promoviraju jednake mogućnosti i socijalnu uključenost</w:t>
            </w:r>
          </w:p>
        </w:tc>
        <w:tc>
          <w:tcPr>
            <w:tcW w:w="833" w:type="pct"/>
            <w:vAlign w:val="center"/>
          </w:tcPr>
          <w:p w14:paraId="53EADB2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73E5345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2</w:t>
            </w:r>
          </w:p>
          <w:p w14:paraId="3B14CB2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27C2C58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7620998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5BAE561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4A2A656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5782376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3995443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</w:t>
            </w:r>
          </w:p>
        </w:tc>
      </w:tr>
      <w:tr w:rsidR="00945D3D" w:rsidRPr="00945D3D" w14:paraId="01999CE4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3475D93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281A558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5.2. Pristupačnost za osobe s invaliditetom</w:t>
            </w:r>
          </w:p>
          <w:p w14:paraId="15506B1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uključuje aktivnosti koje promoviraju pristupačnost za osobe s invaliditetom, odnosno sadrži dodatne aktivnosti uz propisani minimum poštivanja zakonskih odredbi (npr. korištenje načela univerzalnog dizajna, Brailleovo pismo za slijepe osobe u promotivnim materijalima, znakovni jezik za gluhe osobe tijekom informativnih događanja, tekstovi jednostavni za čitanje i razumijevanje za osobe s intelektualnim poteškoćama i sl.).</w:t>
            </w:r>
          </w:p>
        </w:tc>
        <w:tc>
          <w:tcPr>
            <w:tcW w:w="1656" w:type="pct"/>
          </w:tcPr>
          <w:p w14:paraId="4928668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2 boda: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projekt uključuje dvije ili više dodatnih aktivnosti koje promiču pristupačnost za osobe s invaliditetom </w:t>
            </w:r>
          </w:p>
          <w:p w14:paraId="2DF1625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  <w:p w14:paraId="2055962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trike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 bod: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projekt uključuje jednu dodatnu aktivnost koja promiče pristupačnost za osobe s invaliditetom </w:t>
            </w:r>
          </w:p>
        </w:tc>
        <w:tc>
          <w:tcPr>
            <w:tcW w:w="833" w:type="pct"/>
            <w:vAlign w:val="center"/>
          </w:tcPr>
          <w:p w14:paraId="0E6DBF5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07" w:type="pct"/>
            <w:vAlign w:val="center"/>
          </w:tcPr>
          <w:p w14:paraId="235150E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</w:t>
            </w:r>
          </w:p>
        </w:tc>
      </w:tr>
      <w:tr w:rsidR="00A56BF6" w:rsidRPr="00945D3D" w14:paraId="057C183C" w14:textId="77777777" w:rsidTr="00945D3D">
        <w:tc>
          <w:tcPr>
            <w:tcW w:w="249" w:type="pct"/>
            <w:shd w:val="clear" w:color="auto" w:fill="BFBFBF"/>
            <w:vAlign w:val="center"/>
          </w:tcPr>
          <w:p w14:paraId="402E5569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07476E2D" w14:textId="77777777" w:rsid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  <w:p w14:paraId="4C8F85F8" w14:textId="452DC0BA" w:rsidR="00A56BF6" w:rsidRP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</w:tcPr>
          <w:p w14:paraId="3913595B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3657BEDE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5F421713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6F32D72E" w14:textId="77777777" w:rsidTr="00945D3D">
        <w:tc>
          <w:tcPr>
            <w:tcW w:w="249" w:type="pct"/>
            <w:vMerge w:val="restart"/>
            <w:shd w:val="clear" w:color="auto" w:fill="BFBFBF"/>
            <w:vAlign w:val="center"/>
          </w:tcPr>
          <w:p w14:paraId="7D248AA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4751" w:type="pct"/>
            <w:gridSpan w:val="4"/>
            <w:shd w:val="clear" w:color="auto" w:fill="B0CB1F"/>
            <w:vAlign w:val="center"/>
          </w:tcPr>
          <w:p w14:paraId="7DE9035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Promicanje održivog razvoja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(odnosi se na promicanje cilja EU za očuvanjem, zaštitom i unaprjeđenjem zaštite okoliša te</w:t>
            </w: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uključuje aspekte promicanja korištenja obnovljivih izvora energije, i/ili unaprjeđenja energetske učinkovitosti i/ili smanjenja korištenja prirodnih resursa)</w:t>
            </w:r>
          </w:p>
        </w:tc>
      </w:tr>
      <w:tr w:rsidR="00945D3D" w:rsidRPr="00945D3D" w14:paraId="5EA3EAA2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0C75FC2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2557CC39" w14:textId="5A3EE4CC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6.1.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Doprinos održivom gospodarenju i unaprjeđenju sustava gospodarenja otpadom</w:t>
            </w:r>
          </w:p>
          <w:p w14:paraId="34426EF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Izobrazno-informativne aktivnosti predviđene projektnim prijedlogom usmjerene su na relevantne teme o održivom gospodarenju otpadom sukladno točki 1.5 Specifični ciljevi Programa izobrazno-informativnih aktivnosti o održivom gospodarenju otpadom</w:t>
            </w:r>
            <w:r w:rsidRPr="00945D3D" w:rsidDel="00C73C9C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56" w:type="pct"/>
          </w:tcPr>
          <w:p w14:paraId="73A6CAE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10 bodova: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60C3A27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Izobrazno-informativne aktivnosti usmjerene su na sva 4 specifična cilja sukladno točki 1.5 Programa izobrazno-informativnih aktivnosti o održivom gospodarenju otpadom </w:t>
            </w:r>
          </w:p>
          <w:p w14:paraId="4C3D7ED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6E37A10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7 bodova: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67292F6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Izobrazno-informativne aktivnosti usmjerene su na 3 specifična cilja sukladno točki 1.5 Programa izobrazno-informativnih aktivnosti o održivom gospodarenju otpadom </w:t>
            </w:r>
          </w:p>
          <w:p w14:paraId="320B921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00F0BE9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5 bodova: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2ECBB9B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Izobrazno-informativne aktivnosti usmjerene su na 2 specifična cilja sukladno točki 1.5 Programa izobrazno-informativnih aktivnosti o održivom gospodarenju otpadom </w:t>
            </w:r>
          </w:p>
          <w:p w14:paraId="589F55D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73AC708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3 bodova: </w:t>
            </w:r>
          </w:p>
          <w:p w14:paraId="3965F0B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Izobrazno-informativne aktivnosti usmjerene su na 1 specifičan cilj sukladno točki 1.5 Programa izobrazno-informativnih aktivnosti o održivom gospodarenju otpadom </w:t>
            </w:r>
          </w:p>
        </w:tc>
        <w:tc>
          <w:tcPr>
            <w:tcW w:w="833" w:type="pct"/>
            <w:vAlign w:val="center"/>
          </w:tcPr>
          <w:p w14:paraId="16D0781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7" w:type="pct"/>
            <w:vAlign w:val="center"/>
          </w:tcPr>
          <w:p w14:paraId="569CF65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2 – Komunikacijski plan</w:t>
            </w:r>
          </w:p>
        </w:tc>
      </w:tr>
      <w:tr w:rsidR="00945D3D" w:rsidRPr="00945D3D" w14:paraId="62C882D1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516D201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6274167F" w14:textId="63FB2BC3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6.2.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Doprinos podizanju svijesti javnosti o održivom gospodarenju otpadom</w:t>
            </w:r>
          </w:p>
          <w:p w14:paraId="1A8FFCA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Predložene izobrazno-informativne aktivnosti su usmjerene na ciljne skupine javnosti sukladno točki 1.7 Programa izobrazno-informativnih aktivnosti o održivom gospodarenju otpadom </w:t>
            </w:r>
          </w:p>
        </w:tc>
        <w:tc>
          <w:tcPr>
            <w:tcW w:w="1656" w:type="pct"/>
            <w:vAlign w:val="center"/>
          </w:tcPr>
          <w:p w14:paraId="20DD39F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10 bodova: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Izobrazno-informativne</w:t>
            </w: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aktivnosti su usmjerene na 5 ili više ciljnih skupina javnosti sukladno točki 1.7 Programa </w:t>
            </w:r>
          </w:p>
          <w:p w14:paraId="6205664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7 bodova: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Izobrazno-informativne aktivnosti su usmjerene na minimalno 3 ciljne skupine javnosti sukladno točki 1.7 Programa</w:t>
            </w:r>
          </w:p>
          <w:p w14:paraId="0431E925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5 bodova: 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Izobrazno-informativne aktivnosti su usmjerene na minimalno 1 ciljnu skupine javnosti sukladno točki 1.7 Programa </w:t>
            </w:r>
          </w:p>
        </w:tc>
        <w:tc>
          <w:tcPr>
            <w:tcW w:w="833" w:type="pct"/>
            <w:vAlign w:val="center"/>
          </w:tcPr>
          <w:p w14:paraId="09C9F62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07" w:type="pct"/>
            <w:vAlign w:val="center"/>
          </w:tcPr>
          <w:p w14:paraId="23F4009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2 – Komunikacijski plan</w:t>
            </w:r>
          </w:p>
        </w:tc>
      </w:tr>
      <w:tr w:rsidR="00945D3D" w:rsidRPr="00945D3D" w14:paraId="143966D5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414F687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1E675D39" w14:textId="09A0271A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6.3.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Planirani broj izobrazno-informativnih aktivnosti</w:t>
            </w:r>
          </w:p>
          <w:p w14:paraId="7E700BD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minimalno obveznog broja izobrazno-informativnih aktivnosti sukladno toči 1.3. ovih Uputa:</w:t>
            </w:r>
          </w:p>
          <w:p w14:paraId="2B829FBB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  <w:t>JLS iz 2. kategorije je obvezna provesti minimalno 3 obvezne i 2 preporučene aktivnosti;</w:t>
            </w:r>
          </w:p>
          <w:p w14:paraId="4D3688F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  <w:t>JLS iz 3. kategorije je obvezna provesti minimalno 4 obvezne i 3 preporučene aktivnosti;</w:t>
            </w:r>
          </w:p>
          <w:p w14:paraId="4032841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  <w:t>JLS iz 4. kategorije je obvezna provesti minimalno 6 obveznih i 4 preporučene aktivnosti;</w:t>
            </w:r>
          </w:p>
          <w:p w14:paraId="6D023DF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i/>
                <w:sz w:val="24"/>
                <w:szCs w:val="24"/>
                <w:lang w:eastAsia="zh-CN"/>
              </w:rPr>
              <w:t>Grad Zagreb je obvezan provesti minimalno 7 obveznih i 5 preporučenih aktivnosti.</w:t>
            </w:r>
          </w:p>
        </w:tc>
        <w:tc>
          <w:tcPr>
            <w:tcW w:w="1656" w:type="pct"/>
            <w:vAlign w:val="center"/>
          </w:tcPr>
          <w:p w14:paraId="0A0F53B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15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5 i više aktivnosti u odnosu na  minimalni obvezni broj aktivnosti sukladno točki 1.3. ovih Uputa</w:t>
            </w:r>
          </w:p>
          <w:p w14:paraId="090B756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13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4 aktivnosti više u odnosu na  minimalni obvezni broj aktivnosti sukladno točki 1.3. ovih Uputa</w:t>
            </w:r>
          </w:p>
          <w:p w14:paraId="17A4267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11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3 aktivnosti više u odnosu na  minimalni obvezni broj aktivnosti sukladno točki 1.3. ovih Uputa</w:t>
            </w:r>
          </w:p>
          <w:p w14:paraId="0F65987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9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2 aktivnosti više u odnosu na   minimalni obvezni broj aktivnosti sukladno točki 1.3. ovih Uputa</w:t>
            </w:r>
          </w:p>
          <w:p w14:paraId="4796441A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5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1 aktivnosti više u odnosu na   minimalni obvezni broj aktivnosti sukladno točki 1.3. ovih Uputa</w:t>
            </w:r>
          </w:p>
          <w:p w14:paraId="6ABF687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0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provedbu minimalnog obveznog broja aktivnosti sukladno točki 1.3. ovih Uputa</w:t>
            </w:r>
          </w:p>
        </w:tc>
        <w:tc>
          <w:tcPr>
            <w:tcW w:w="833" w:type="pct"/>
            <w:vAlign w:val="center"/>
          </w:tcPr>
          <w:p w14:paraId="4C189BD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07" w:type="pct"/>
            <w:vAlign w:val="center"/>
          </w:tcPr>
          <w:p w14:paraId="671E65E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 i Obrazac 2 – Komunikacijski plan</w:t>
            </w:r>
          </w:p>
        </w:tc>
      </w:tr>
      <w:tr w:rsidR="00945D3D" w:rsidRPr="00945D3D" w14:paraId="664BF23A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792AA72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745BA90E" w14:textId="613ED2B7" w:rsidR="00945D3D" w:rsidRPr="00945D3D" w:rsidRDefault="00EE14B4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6.4. </w:t>
            </w:r>
            <w:r w:rsidR="00945D3D"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Postotak stanovništva obuhvaćen planiranim izobrazno-informativnim aktivnostima </w:t>
            </w:r>
          </w:p>
          <w:p w14:paraId="2D674E2D" w14:textId="63792A3D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da će planirane izobrazno-informativne aktivnosti obuhvatiti minimalno 80 % stanovništva na području obuhvata projekta.</w:t>
            </w:r>
          </w:p>
        </w:tc>
        <w:tc>
          <w:tcPr>
            <w:tcW w:w="1656" w:type="pct"/>
            <w:vAlign w:val="center"/>
          </w:tcPr>
          <w:p w14:paraId="6F2EDD0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15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obuhvatiti više od 95 do100 % stanovništva</w:t>
            </w:r>
          </w:p>
          <w:p w14:paraId="73E236B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10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obuhvatiti više od 90 do 95% stanovništva</w:t>
            </w:r>
          </w:p>
          <w:p w14:paraId="485A47A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7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obuhvatiti više od 85 do 90% stanovništva</w:t>
            </w:r>
          </w:p>
          <w:p w14:paraId="4A7C840D" w14:textId="60965AAD" w:rsidR="00945D3D" w:rsidRPr="00945D3D" w:rsidRDefault="00F374D7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5</w:t>
            </w:r>
            <w:r w:rsidR="00945D3D"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 bodova: </w:t>
            </w:r>
            <w:r w:rsidR="00945D3D"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obuhvatiti više od 80 do 85% stanovništva</w:t>
            </w:r>
          </w:p>
          <w:p w14:paraId="25E2B62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0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Projektni prijedlog predviđa obuhvatiti minimalno 80 % stanovništva</w:t>
            </w:r>
          </w:p>
        </w:tc>
        <w:tc>
          <w:tcPr>
            <w:tcW w:w="833" w:type="pct"/>
            <w:vAlign w:val="center"/>
          </w:tcPr>
          <w:p w14:paraId="057297F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07" w:type="pct"/>
            <w:vAlign w:val="center"/>
          </w:tcPr>
          <w:p w14:paraId="183C8F2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 i Obrazac 2 – Komunikacijski plan</w:t>
            </w:r>
          </w:p>
        </w:tc>
      </w:tr>
      <w:tr w:rsidR="00945D3D" w:rsidRPr="00945D3D" w14:paraId="5080DD9F" w14:textId="77777777" w:rsidTr="00945D3D">
        <w:tc>
          <w:tcPr>
            <w:tcW w:w="249" w:type="pct"/>
            <w:vMerge/>
            <w:shd w:val="clear" w:color="auto" w:fill="BFBFBF"/>
            <w:vAlign w:val="center"/>
          </w:tcPr>
          <w:p w14:paraId="0A9883F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180BA65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6.5. Doprinos provedbi mjera održivog razvoja</w:t>
            </w:r>
          </w:p>
          <w:p w14:paraId="11F880D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Izobrazno-informativne aktivnosti predviđene projektnim prijedlogom usmjerene su na promicanje načela održivog razvoja te zaštite okoliša na način da promoviraju obnovljive izvore energije i/ili održivo korištenje prirodnih resursa, ili projektni prijedlog predviđa provedbu zelene javne nabave.</w:t>
            </w:r>
          </w:p>
        </w:tc>
        <w:tc>
          <w:tcPr>
            <w:tcW w:w="1656" w:type="pct"/>
          </w:tcPr>
          <w:p w14:paraId="057384E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3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3BBE991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Projektni prijedlog uključuje:</w:t>
            </w:r>
          </w:p>
          <w:p w14:paraId="1A03D4E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1. izobrazno-informativne aktivnosti koje promoviraju obnovljive izvore energije i/ili održivo korištenje prirodnih resursa </w:t>
            </w: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i </w:t>
            </w:r>
          </w:p>
          <w:p w14:paraId="200BA20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2. provedbu zelene javne nabave</w:t>
            </w:r>
          </w:p>
          <w:p w14:paraId="7954710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37825053" w14:textId="03217E89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>2 boda:</w:t>
            </w: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 </w:t>
            </w:r>
          </w:p>
          <w:p w14:paraId="1D504E0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Projektni prijedlog  uključuje:</w:t>
            </w:r>
          </w:p>
          <w:p w14:paraId="2CCD4BA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1. izobrazno-informativne aktivnosti koje promoviraju obnovljive izvore energije i/ili održivo korištenje prirodnih resursa </w:t>
            </w:r>
            <w:r w:rsidRPr="00945D3D"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  <w:t xml:space="preserve">ili </w:t>
            </w:r>
          </w:p>
          <w:p w14:paraId="5ADB8CC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2. provedbu zelene javne nabave</w:t>
            </w:r>
          </w:p>
        </w:tc>
        <w:tc>
          <w:tcPr>
            <w:tcW w:w="833" w:type="pct"/>
            <w:vAlign w:val="center"/>
          </w:tcPr>
          <w:p w14:paraId="33B54D1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3</w:t>
            </w:r>
          </w:p>
          <w:p w14:paraId="4D5C5E06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  <w:p w14:paraId="6B8FFC1F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0DC8195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</w:t>
            </w:r>
          </w:p>
        </w:tc>
      </w:tr>
      <w:tr w:rsidR="00A56BF6" w:rsidRPr="00945D3D" w14:paraId="7BA24637" w14:textId="77777777" w:rsidTr="00945D3D">
        <w:tc>
          <w:tcPr>
            <w:tcW w:w="249" w:type="pct"/>
            <w:shd w:val="clear" w:color="auto" w:fill="BFBFBF"/>
            <w:vAlign w:val="center"/>
          </w:tcPr>
          <w:p w14:paraId="22620714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16F1A97E" w14:textId="77777777" w:rsid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  <w:p w14:paraId="25B6501A" w14:textId="379CD705" w:rsidR="00A56BF6" w:rsidRP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</w:tcPr>
          <w:p w14:paraId="5E2BB402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vAlign w:val="center"/>
          </w:tcPr>
          <w:p w14:paraId="4DA5A444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vAlign w:val="center"/>
          </w:tcPr>
          <w:p w14:paraId="669BA1FD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2C08FD50" w14:textId="77777777" w:rsidTr="00945D3D">
        <w:trPr>
          <w:trHeight w:val="454"/>
        </w:trPr>
        <w:tc>
          <w:tcPr>
            <w:tcW w:w="249" w:type="pct"/>
            <w:vMerge w:val="restart"/>
            <w:shd w:val="clear" w:color="auto" w:fill="BFBFBF"/>
            <w:vAlign w:val="center"/>
          </w:tcPr>
          <w:p w14:paraId="7AC2ED6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4751" w:type="pct"/>
            <w:gridSpan w:val="4"/>
            <w:shd w:val="clear" w:color="auto" w:fill="B0CB1F"/>
          </w:tcPr>
          <w:p w14:paraId="2319B38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mbria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Doprinos projektnog prijedloga rješavanju specifičnih razvojnih problema na određenom </w:t>
            </w: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teritoriju (projekt se provodi na određenoj lokaciji i uključuje teritorijalni prioritet, određen PDP-om, kao primjerice uključivanje područja izrazitog siromaštva ili određenog stupnja (ne)razvijenosti, ili pak bavljenje određenim demografskim izazovom).</w:t>
            </w:r>
          </w:p>
        </w:tc>
      </w:tr>
      <w:tr w:rsidR="00945D3D" w:rsidRPr="00945D3D" w14:paraId="2BFA99C6" w14:textId="77777777" w:rsidTr="00945D3D">
        <w:trPr>
          <w:trHeight w:val="454"/>
        </w:trPr>
        <w:tc>
          <w:tcPr>
            <w:tcW w:w="249" w:type="pct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FEAB38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tcBorders>
              <w:bottom w:val="single" w:sz="4" w:space="0" w:color="auto"/>
            </w:tcBorders>
          </w:tcPr>
          <w:p w14:paraId="19F687E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7.1. Doprinos uravnoteženom regionalnom razvoju RH</w:t>
            </w:r>
          </w:p>
          <w:p w14:paraId="21C9845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Doprinos kriteriju će se prilikom odabira projekata ocjenjivati na temelju lokacije prijavitelja sukladno Odluci o razvrstavanju jedinica lokalne i područne (regionalne) samouprave prema stupnju razvijenosti (NN 132/2017), Zakonu o brdsko-planinskim područjima (NN 12/02, 32/02, 117/03, 42/05, 90/05, 80/08, 148/13, 147/14) i Zakonu o otocima (NN 34/99, 149/99, 32/02, 33/06).</w:t>
            </w:r>
          </w:p>
          <w:p w14:paraId="4AE7A18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tcBorders>
              <w:bottom w:val="single" w:sz="4" w:space="0" w:color="auto"/>
            </w:tcBorders>
            <w:vAlign w:val="center"/>
          </w:tcPr>
          <w:p w14:paraId="332C854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15 bodova:</w:t>
            </w:r>
          </w:p>
          <w:p w14:paraId="4E02728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koji je JLS iz I. ili II. skupine iz Odluke o razvrstavanju jedinica lokalne i područne (regionalne) samouprave prema stupnju razvijenosti (NN 132/17)</w:t>
            </w:r>
          </w:p>
          <w:p w14:paraId="4EEF73B0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12 bodova:</w:t>
            </w:r>
          </w:p>
          <w:p w14:paraId="533602F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koji je JLS iz III. skupine iz Odluke o razvrstavanju jedinica lokalne i područne (regionalne) samouprave prema stupnju razvijenosti (NN 132/17)</w:t>
            </w:r>
          </w:p>
          <w:p w14:paraId="5A1C003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9 bodova:</w:t>
            </w:r>
          </w:p>
          <w:p w14:paraId="7F4112F2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koji je JLS  iz IV. skupine iz Odluke o razvrstavanju jedinica lokalne i područne (regionalne) samouprave prema stupnju razvijenosti (NN 132/17)</w:t>
            </w:r>
          </w:p>
          <w:p w14:paraId="7E80CD5D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6 bodova:</w:t>
            </w:r>
          </w:p>
          <w:p w14:paraId="2E5367F1" w14:textId="77777777" w:rsidR="00945D3D" w:rsidRPr="00945D3D" w:rsidRDefault="00945D3D" w:rsidP="00945D3D">
            <w:pPr>
              <w:rPr>
                <w:rFonts w:ascii="Gill Sans MT" w:hAnsi="Gill Sans MT"/>
                <w:color w:val="000000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Prijavitelj koji je JLS  na otocima i na brdsko-planinskim područjima sukladno </w:t>
            </w:r>
            <w:r w:rsidRPr="00945D3D">
              <w:rPr>
                <w:rFonts w:ascii="Gill Sans MT" w:hAnsi="Gill Sans MT"/>
                <w:color w:val="000000"/>
                <w:sz w:val="24"/>
                <w:szCs w:val="24"/>
                <w:lang w:eastAsia="zh-CN"/>
              </w:rPr>
              <w:t xml:space="preserve">Zakonu o brdsko-planinskim područjima (NN 12/02, 32/02, 117/03, 42/05, 90/05, 80/08, 148/13, 147/14) i </w:t>
            </w:r>
            <w:r w:rsidRPr="00945D3D">
              <w:rPr>
                <w:rFonts w:ascii="Gill Sans MT" w:hAnsi="Gill Sans MT" w:cs="Times New Roman"/>
                <w:color w:val="000000"/>
                <w:sz w:val="24"/>
                <w:szCs w:val="24"/>
                <w:lang w:eastAsia="zh-CN"/>
              </w:rPr>
              <w:t>Zakonu o otocima (NN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</w:t>
            </w:r>
            <w:r w:rsidRPr="00945D3D">
              <w:rPr>
                <w:rFonts w:ascii="Gill Sans MT" w:hAnsi="Gill Sans MT" w:cs="Times New Roman"/>
                <w:color w:val="000000"/>
                <w:sz w:val="24"/>
                <w:szCs w:val="24"/>
                <w:lang w:eastAsia="zh-CN"/>
              </w:rPr>
              <w:t>34/99, 149/99, 32/02, 33/06), a iz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 xml:space="preserve"> V. ili VI. skupine iz Odluke o razvrstavanju jedinica lokalne i područne (regionalne) samouprave prema stupnju razvijenosti (NN 132/17)</w:t>
            </w:r>
            <w:r w:rsidRPr="00945D3D">
              <w:rPr>
                <w:rFonts w:ascii="Gill Sans MT" w:hAnsi="Gill Sans MT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</w:p>
          <w:p w14:paraId="50C74577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</w:p>
          <w:p w14:paraId="07C0D9EC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0 bodova: </w:t>
            </w:r>
            <w:r w:rsidRPr="00945D3D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Prijavitelj koji je JLS iz V., VI., VII. ili VIII. skupine iz Odluke o razvrstavanju jedinica lokalne i područne (regionalne) samouprave prema stupnju razvijenosti (NN 132/17)</w:t>
            </w:r>
          </w:p>
          <w:p w14:paraId="0C74F799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7E4B594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2BAD21E8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Obrazac 1 – Prijavni obrazac</w:t>
            </w:r>
          </w:p>
        </w:tc>
      </w:tr>
      <w:tr w:rsidR="00A56BF6" w:rsidRPr="00945D3D" w14:paraId="0F865DE2" w14:textId="77777777" w:rsidTr="00945D3D">
        <w:trPr>
          <w:trHeight w:val="454"/>
        </w:trPr>
        <w:tc>
          <w:tcPr>
            <w:tcW w:w="249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639F0B3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656" w:type="pct"/>
            <w:tcBorders>
              <w:bottom w:val="single" w:sz="4" w:space="0" w:color="auto"/>
            </w:tcBorders>
          </w:tcPr>
          <w:p w14:paraId="57D4016E" w14:textId="1EC08E36" w:rsidR="00A56BF6" w:rsidRPr="00A56BF6" w:rsidRDefault="00A56BF6" w:rsidP="00945D3D">
            <w:pPr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</w:pP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>Obrazloženje ocjene:</w:t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  <w:r w:rsidRPr="00A56BF6">
              <w:rPr>
                <w:rFonts w:ascii="Gill Sans MT" w:eastAsia="Calibri" w:hAnsi="Gill Sans MT" w:cs="Times New Roman"/>
                <w:bCs/>
                <w:iCs/>
                <w:sz w:val="24"/>
                <w:szCs w:val="24"/>
                <w:lang w:eastAsia="zh-CN"/>
              </w:rPr>
              <w:tab/>
            </w:r>
          </w:p>
        </w:tc>
        <w:tc>
          <w:tcPr>
            <w:tcW w:w="1656" w:type="pct"/>
            <w:tcBorders>
              <w:bottom w:val="single" w:sz="4" w:space="0" w:color="auto"/>
            </w:tcBorders>
            <w:vAlign w:val="center"/>
          </w:tcPr>
          <w:p w14:paraId="7B47C335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14:paraId="0B18B7D3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vAlign w:val="center"/>
          </w:tcPr>
          <w:p w14:paraId="4E50DEF6" w14:textId="77777777" w:rsidR="00A56BF6" w:rsidRPr="00945D3D" w:rsidRDefault="00A56BF6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  <w:tr w:rsidR="00945D3D" w:rsidRPr="00945D3D" w14:paraId="1587AF47" w14:textId="77777777" w:rsidTr="00945D3D">
        <w:trPr>
          <w:trHeight w:val="737"/>
        </w:trPr>
        <w:tc>
          <w:tcPr>
            <w:tcW w:w="1905" w:type="pct"/>
            <w:gridSpan w:val="2"/>
            <w:shd w:val="clear" w:color="auto" w:fill="B0CB1F"/>
            <w:vAlign w:val="center"/>
          </w:tcPr>
          <w:p w14:paraId="47EA0843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lang w:eastAsia="zh-CN"/>
              </w:rPr>
              <w:t>Bodovni prag (minimalna ocjena) na razini projekta</w:t>
            </w:r>
            <w:r w:rsidRPr="00945D3D">
              <w:rPr>
                <w:rFonts w:ascii="Gill Sans MT" w:eastAsia="Calibri" w:hAnsi="Gill Sans MT" w:cs="Times New Roman"/>
                <w:b/>
                <w:bCs/>
                <w:iCs/>
                <w:sz w:val="24"/>
                <w:szCs w:val="24"/>
                <w:vertAlign w:val="superscript"/>
                <w:lang w:eastAsia="zh-CN"/>
              </w:rPr>
              <w:footnoteReference w:id="2"/>
            </w:r>
          </w:p>
        </w:tc>
        <w:tc>
          <w:tcPr>
            <w:tcW w:w="1656" w:type="pct"/>
            <w:shd w:val="clear" w:color="auto" w:fill="B0CB1F"/>
            <w:vAlign w:val="center"/>
          </w:tcPr>
          <w:p w14:paraId="784BC92E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Maksimalno: 100</w:t>
            </w:r>
          </w:p>
          <w:p w14:paraId="0E71D78F" w14:textId="6A71AA4C" w:rsidR="00945D3D" w:rsidRPr="00945D3D" w:rsidRDefault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  <w:r w:rsidRPr="00945D3D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 xml:space="preserve">Minimalno: </w:t>
            </w:r>
            <w:r w:rsidR="00F374D7"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833" w:type="pct"/>
            <w:shd w:val="clear" w:color="auto" w:fill="B0CB1F"/>
            <w:vAlign w:val="center"/>
          </w:tcPr>
          <w:p w14:paraId="40674784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07" w:type="pct"/>
            <w:shd w:val="clear" w:color="auto" w:fill="B0CB1F"/>
            <w:vAlign w:val="center"/>
          </w:tcPr>
          <w:p w14:paraId="552F6021" w14:textId="77777777" w:rsidR="00945D3D" w:rsidRPr="00945D3D" w:rsidRDefault="00945D3D" w:rsidP="00945D3D">
            <w:pPr>
              <w:rPr>
                <w:rFonts w:ascii="Gill Sans MT" w:eastAsia="Calibri" w:hAnsi="Gill Sans MT" w:cs="Times New Roman"/>
                <w:sz w:val="24"/>
                <w:szCs w:val="24"/>
                <w:lang w:eastAsia="zh-CN"/>
              </w:rPr>
            </w:pPr>
          </w:p>
        </w:tc>
      </w:tr>
    </w:tbl>
    <w:p w14:paraId="002F4397" w14:textId="77777777" w:rsidR="006C3AEC" w:rsidRPr="00B72BD0" w:rsidRDefault="006C3AEC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p w14:paraId="30409873" w14:textId="77777777" w:rsidR="006C3AEC" w:rsidRPr="00B72BD0" w:rsidRDefault="006C3AEC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p w14:paraId="39254E25" w14:textId="7C37DEFE" w:rsidR="00597F08" w:rsidRPr="00B72BD0" w:rsidRDefault="00597F08" w:rsidP="002513D2">
      <w:pPr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  <w:r w:rsidRPr="00B72BD0">
        <w:rPr>
          <w:rFonts w:ascii="Gill Sans MT" w:hAnsi="Gill Sans MT" w:cs="Times New Roman"/>
          <w:sz w:val="24"/>
          <w:szCs w:val="24"/>
        </w:rPr>
        <w:t>Datum:</w:t>
      </w:r>
      <w:r w:rsidR="002513D2" w:rsidRPr="00B72BD0">
        <w:rPr>
          <w:rFonts w:ascii="Gill Sans MT" w:hAnsi="Gill Sans MT" w:cs="Times New Roman"/>
          <w:sz w:val="24"/>
          <w:szCs w:val="24"/>
        </w:rPr>
        <w:tab/>
      </w:r>
      <w:r w:rsidR="002513D2" w:rsidRPr="00B72BD0">
        <w:rPr>
          <w:rFonts w:ascii="Gill Sans MT" w:hAnsi="Gill Sans MT" w:cs="Times New Roman"/>
          <w:sz w:val="24"/>
          <w:szCs w:val="24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</w:p>
    <w:p w14:paraId="2CD9E644" w14:textId="77777777" w:rsidR="00283C73" w:rsidRPr="00B72BD0" w:rsidRDefault="00283C73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p w14:paraId="4A521BC9" w14:textId="1DBE234B" w:rsidR="002513D2" w:rsidRPr="00B72BD0" w:rsidRDefault="00597F08" w:rsidP="002513D2">
      <w:pPr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  <w:r w:rsidRPr="00B72BD0">
        <w:rPr>
          <w:rFonts w:ascii="Gill Sans MT" w:hAnsi="Gill Sans MT" w:cs="Times New Roman"/>
          <w:sz w:val="24"/>
          <w:szCs w:val="24"/>
        </w:rPr>
        <w:t>Ime</w:t>
      </w:r>
      <w:r w:rsidR="002513D2" w:rsidRPr="00B72BD0">
        <w:rPr>
          <w:rFonts w:ascii="Gill Sans MT" w:hAnsi="Gill Sans MT" w:cs="Times New Roman"/>
          <w:sz w:val="24"/>
          <w:szCs w:val="24"/>
        </w:rPr>
        <w:t xml:space="preserve"> i </w:t>
      </w:r>
      <w:r w:rsidRPr="00B72BD0">
        <w:rPr>
          <w:rFonts w:ascii="Gill Sans MT" w:hAnsi="Gill Sans MT" w:cs="Times New Roman"/>
          <w:sz w:val="24"/>
          <w:szCs w:val="24"/>
        </w:rPr>
        <w:t>prezime</w:t>
      </w:r>
      <w:r w:rsidR="002513D2" w:rsidRPr="00B72BD0">
        <w:rPr>
          <w:rFonts w:ascii="Gill Sans MT" w:hAnsi="Gill Sans MT" w:cs="Times New Roman"/>
          <w:sz w:val="24"/>
          <w:szCs w:val="24"/>
        </w:rPr>
        <w:t>:</w:t>
      </w:r>
      <w:r w:rsidR="002513D2" w:rsidRPr="00B72BD0">
        <w:rPr>
          <w:rFonts w:ascii="Gill Sans MT" w:hAnsi="Gill Sans MT" w:cs="Times New Roman"/>
          <w:sz w:val="24"/>
          <w:szCs w:val="24"/>
        </w:rPr>
        <w:tab/>
      </w:r>
      <w:r w:rsidR="002513D2" w:rsidRPr="00B72BD0">
        <w:rPr>
          <w:rFonts w:ascii="Gill Sans MT" w:hAnsi="Gill Sans MT" w:cs="Times New Roman"/>
          <w:sz w:val="24"/>
          <w:szCs w:val="24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="002513D2" w:rsidRPr="00B72BD0">
        <w:rPr>
          <w:rFonts w:ascii="Gill Sans MT" w:hAnsi="Gill Sans MT" w:cs="Times New Roman"/>
          <w:sz w:val="24"/>
          <w:szCs w:val="24"/>
          <w:u w:val="single"/>
        </w:rPr>
        <w:tab/>
      </w:r>
    </w:p>
    <w:p w14:paraId="687A7791" w14:textId="77777777" w:rsidR="002513D2" w:rsidRPr="00B72BD0" w:rsidRDefault="002513D2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p w14:paraId="6733A58D" w14:textId="16C2C443" w:rsidR="00C460C2" w:rsidRPr="00B72BD0" w:rsidRDefault="002513D2" w:rsidP="002513D2">
      <w:pPr>
        <w:tabs>
          <w:tab w:val="left" w:pos="212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  <w:r w:rsidRPr="00B72BD0">
        <w:rPr>
          <w:rFonts w:ascii="Gill Sans MT" w:hAnsi="Gill Sans MT" w:cs="Times New Roman"/>
          <w:sz w:val="24"/>
          <w:szCs w:val="24"/>
        </w:rPr>
        <w:t>P</w:t>
      </w:r>
      <w:r w:rsidR="00597F08" w:rsidRPr="00B72BD0">
        <w:rPr>
          <w:rFonts w:ascii="Gill Sans MT" w:hAnsi="Gill Sans MT" w:cs="Times New Roman"/>
          <w:sz w:val="24"/>
          <w:szCs w:val="24"/>
        </w:rPr>
        <w:t>otpis ocjenjivača:</w:t>
      </w:r>
      <w:r w:rsidRPr="00B72BD0">
        <w:rPr>
          <w:rFonts w:ascii="Gill Sans MT" w:hAnsi="Gill Sans MT" w:cs="Times New Roman"/>
          <w:sz w:val="24"/>
          <w:szCs w:val="24"/>
        </w:rPr>
        <w:t xml:space="preserve"> </w:t>
      </w:r>
      <w:r w:rsidRPr="00B72BD0">
        <w:rPr>
          <w:rFonts w:ascii="Gill Sans MT" w:hAnsi="Gill Sans MT" w:cs="Times New Roman"/>
          <w:sz w:val="24"/>
          <w:szCs w:val="24"/>
        </w:rPr>
        <w:tab/>
      </w:r>
      <w:r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Pr="00B72BD0">
        <w:rPr>
          <w:rFonts w:ascii="Gill Sans MT" w:hAnsi="Gill Sans MT" w:cs="Times New Roman"/>
          <w:sz w:val="24"/>
          <w:szCs w:val="24"/>
          <w:u w:val="single"/>
        </w:rPr>
        <w:tab/>
      </w:r>
      <w:r w:rsidRPr="00B72BD0">
        <w:rPr>
          <w:rFonts w:ascii="Gill Sans MT" w:hAnsi="Gill Sans MT" w:cs="Times New Roman"/>
          <w:sz w:val="24"/>
          <w:szCs w:val="24"/>
          <w:u w:val="single"/>
        </w:rPr>
        <w:tab/>
      </w:r>
    </w:p>
    <w:p w14:paraId="4362F055" w14:textId="77777777" w:rsidR="00C460C2" w:rsidRPr="00B72BD0" w:rsidRDefault="00C460C2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p w14:paraId="45AACC1D" w14:textId="77777777" w:rsidR="004D2AB9" w:rsidRPr="00B72BD0" w:rsidRDefault="004D2AB9" w:rsidP="00D75B95">
      <w:pPr>
        <w:tabs>
          <w:tab w:val="left" w:pos="6047"/>
        </w:tabs>
        <w:spacing w:after="0" w:line="240" w:lineRule="auto"/>
        <w:jc w:val="both"/>
        <w:outlineLvl w:val="1"/>
        <w:rPr>
          <w:rFonts w:ascii="Gill Sans MT" w:hAnsi="Gill Sans MT" w:cs="Times New Roman"/>
          <w:sz w:val="24"/>
          <w:szCs w:val="24"/>
        </w:rPr>
      </w:pPr>
    </w:p>
    <w:sectPr w:rsidR="004D2AB9" w:rsidRPr="00B72BD0" w:rsidSect="009D6378">
      <w:headerReference w:type="default" r:id="rId8"/>
      <w:footerReference w:type="default" r:id="rId9"/>
      <w:pgSz w:w="16838" w:h="11906" w:orient="landscape"/>
      <w:pgMar w:top="1268" w:right="1417" w:bottom="709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AFEA2" w14:textId="77777777" w:rsidR="00217262" w:rsidRDefault="00217262" w:rsidP="00EC4A16">
      <w:pPr>
        <w:spacing w:after="0" w:line="240" w:lineRule="auto"/>
      </w:pPr>
      <w:r>
        <w:separator/>
      </w:r>
    </w:p>
  </w:endnote>
  <w:endnote w:type="continuationSeparator" w:id="0">
    <w:p w14:paraId="4AE197B1" w14:textId="77777777" w:rsidR="00217262" w:rsidRDefault="00217262" w:rsidP="00EC4A16">
      <w:pPr>
        <w:spacing w:after="0" w:line="240" w:lineRule="auto"/>
      </w:pPr>
      <w:r>
        <w:continuationSeparator/>
      </w:r>
    </w:p>
  </w:endnote>
  <w:endnote w:type="continuationNotice" w:id="1">
    <w:p w14:paraId="4F889947" w14:textId="77777777" w:rsidR="00217262" w:rsidRDefault="002172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934BB6" w14:textId="2BB3A492" w:rsidR="00D75B95" w:rsidRDefault="00D75B95">
            <w:pPr>
              <w:pStyle w:val="Footer"/>
              <w:jc w:val="center"/>
            </w:pPr>
          </w:p>
          <w:p w14:paraId="4A744371" w14:textId="7F29E6AF" w:rsidR="00312535" w:rsidRDefault="00312535">
            <w:pPr>
              <w:pStyle w:val="Footer"/>
              <w:jc w:val="center"/>
            </w:pP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D75B95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45B83">
              <w:rPr>
                <w:rFonts w:ascii="Times New Roman" w:hAnsi="Times New Roman" w:cs="Times New Roman"/>
                <w:bCs/>
                <w:noProof/>
              </w:rPr>
              <w:t>11</w:t>
            </w: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D75B95"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D75B95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F45B83">
              <w:rPr>
                <w:rFonts w:ascii="Times New Roman" w:hAnsi="Times New Roman" w:cs="Times New Roman"/>
                <w:bCs/>
                <w:noProof/>
              </w:rPr>
              <w:t>11</w:t>
            </w:r>
            <w:r w:rsidRPr="00D75B9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4C17A5" w14:textId="77777777" w:rsidR="00312535" w:rsidRDefault="003125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A7949" w14:textId="77777777" w:rsidR="00217262" w:rsidRDefault="00217262" w:rsidP="00EC4A16">
      <w:pPr>
        <w:spacing w:after="0" w:line="240" w:lineRule="auto"/>
      </w:pPr>
      <w:r>
        <w:separator/>
      </w:r>
    </w:p>
  </w:footnote>
  <w:footnote w:type="continuationSeparator" w:id="0">
    <w:p w14:paraId="2D797A79" w14:textId="77777777" w:rsidR="00217262" w:rsidRDefault="00217262" w:rsidP="00EC4A16">
      <w:pPr>
        <w:spacing w:after="0" w:line="240" w:lineRule="auto"/>
      </w:pPr>
      <w:r>
        <w:continuationSeparator/>
      </w:r>
    </w:p>
  </w:footnote>
  <w:footnote w:type="continuationNotice" w:id="1">
    <w:p w14:paraId="78049E12" w14:textId="77777777" w:rsidR="00217262" w:rsidRDefault="00217262">
      <w:pPr>
        <w:spacing w:after="0" w:line="240" w:lineRule="auto"/>
      </w:pPr>
    </w:p>
  </w:footnote>
  <w:footnote w:id="2">
    <w:p w14:paraId="115BEFBE" w14:textId="77777777" w:rsidR="00945D3D" w:rsidRPr="00472B6C" w:rsidRDefault="00945D3D" w:rsidP="00945D3D">
      <w:pPr>
        <w:pStyle w:val="FootnoteText"/>
        <w:jc w:val="both"/>
        <w:rPr>
          <w:rFonts w:ascii="Gill Sans MT" w:eastAsia="Cambria" w:hAnsi="Gill Sans MT"/>
          <w:bCs/>
          <w:i/>
          <w:iCs/>
          <w:sz w:val="18"/>
          <w:szCs w:val="18"/>
        </w:rPr>
      </w:pPr>
      <w:r w:rsidRPr="00472B6C">
        <w:rPr>
          <w:rStyle w:val="FootnoteReference"/>
          <w:rFonts w:ascii="Gill Sans MT" w:hAnsi="Gill Sans MT"/>
          <w:sz w:val="18"/>
          <w:szCs w:val="18"/>
        </w:rPr>
        <w:footnoteRef/>
      </w:r>
      <w:r w:rsidRPr="00472B6C">
        <w:rPr>
          <w:rFonts w:ascii="Gill Sans MT" w:hAnsi="Gill Sans MT"/>
          <w:sz w:val="18"/>
          <w:szCs w:val="18"/>
        </w:rPr>
        <w:t xml:space="preserve"> </w:t>
      </w:r>
      <w:r w:rsidRPr="00200B5C">
        <w:rPr>
          <w:rFonts w:ascii="Gill Sans MT" w:hAnsi="Gill Sans MT"/>
          <w:sz w:val="18"/>
          <w:szCs w:val="18"/>
        </w:rPr>
        <w:t>Najmanji broj bodova koji projektn</w:t>
      </w:r>
      <w:r>
        <w:rPr>
          <w:rFonts w:ascii="Gill Sans MT" w:hAnsi="Gill Sans MT"/>
          <w:sz w:val="18"/>
          <w:szCs w:val="18"/>
        </w:rPr>
        <w:t>i prijedlog treba ostvariti</w:t>
      </w:r>
      <w:r w:rsidRPr="00200B5C">
        <w:rPr>
          <w:rFonts w:ascii="Gill Sans MT" w:hAnsi="Gill Sans MT"/>
          <w:sz w:val="18"/>
          <w:szCs w:val="18"/>
        </w:rPr>
        <w:t xml:space="preserve"> da bi mogao prijeći u daljnje faze dodjele.</w:t>
      </w:r>
      <w:r>
        <w:rPr>
          <w:rFonts w:ascii="Gill Sans MT" w:hAnsi="Gill Sans MT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1C0DC" w14:textId="7B2CEE24" w:rsidR="001C7D42" w:rsidRPr="00B72BD0" w:rsidRDefault="00B72BD0" w:rsidP="009D6378">
    <w:pPr>
      <w:pStyle w:val="Footer"/>
      <w:rPr>
        <w:rFonts w:ascii="Times New Roman" w:hAnsi="Times New Roman" w:cs="Times New Roman"/>
        <w:color w:val="B0CB1F"/>
      </w:rPr>
    </w:pPr>
    <w:r w:rsidRPr="00040C34">
      <w:rPr>
        <w:rFonts w:ascii="Gill Sans MT" w:eastAsia="Times New Roman" w:hAnsi="Gill Sans MT" w:cs="Times New Roman"/>
        <w:b/>
        <w:noProof/>
        <w:color w:val="B0CB1F"/>
        <w:sz w:val="16"/>
        <w:szCs w:val="16"/>
      </w:rPr>
      <w:drawing>
        <wp:anchor distT="0" distB="0" distL="114300" distR="114300" simplePos="0" relativeHeight="251659264" behindDoc="1" locked="0" layoutInCell="1" allowOverlap="1" wp14:anchorId="2F5DCCC3" wp14:editId="47FCFA11">
          <wp:simplePos x="0" y="0"/>
          <wp:positionH relativeFrom="column">
            <wp:posOffset>7893685</wp:posOffset>
          </wp:positionH>
          <wp:positionV relativeFrom="paragraph">
            <wp:posOffset>-340995</wp:posOffset>
          </wp:positionV>
          <wp:extent cx="2057400" cy="1647190"/>
          <wp:effectExtent l="0" t="0" r="0" b="0"/>
          <wp:wrapNone/>
          <wp:docPr id="1" name="Picture 46" descr="cid:image001.png@01D17465.24768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17465.24768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45D3D">
      <w:rPr>
        <w:rFonts w:ascii="Times New Roman" w:hAnsi="Times New Roman" w:cs="Times New Roman"/>
        <w:color w:val="B0CB1F"/>
      </w:rPr>
      <w:t>PRILOG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336D8"/>
    <w:multiLevelType w:val="hybridMultilevel"/>
    <w:tmpl w:val="43C2C7BC"/>
    <w:lvl w:ilvl="0" w:tplc="18388002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DA6EE8"/>
    <w:multiLevelType w:val="multilevel"/>
    <w:tmpl w:val="148A5A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7C1D5C"/>
    <w:multiLevelType w:val="hybridMultilevel"/>
    <w:tmpl w:val="3FBC5E9C"/>
    <w:lvl w:ilvl="0" w:tplc="C6E852B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14E66681"/>
    <w:multiLevelType w:val="hybridMultilevel"/>
    <w:tmpl w:val="F2A2E1E2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62F36"/>
    <w:multiLevelType w:val="hybridMultilevel"/>
    <w:tmpl w:val="29A60C90"/>
    <w:lvl w:ilvl="0" w:tplc="C10443B0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27676"/>
    <w:multiLevelType w:val="hybridMultilevel"/>
    <w:tmpl w:val="E05CDA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835BC"/>
    <w:multiLevelType w:val="hybridMultilevel"/>
    <w:tmpl w:val="53FC44C4"/>
    <w:lvl w:ilvl="0" w:tplc="1838681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D44C1"/>
    <w:multiLevelType w:val="hybridMultilevel"/>
    <w:tmpl w:val="C3E6E7D2"/>
    <w:lvl w:ilvl="0" w:tplc="26760A2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605C2"/>
    <w:multiLevelType w:val="multilevel"/>
    <w:tmpl w:val="39C2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18E333E"/>
    <w:multiLevelType w:val="hybridMultilevel"/>
    <w:tmpl w:val="342E1696"/>
    <w:lvl w:ilvl="0" w:tplc="C18461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44A8B"/>
    <w:multiLevelType w:val="hybridMultilevel"/>
    <w:tmpl w:val="4BAA183C"/>
    <w:lvl w:ilvl="0" w:tplc="4EAA4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42E27"/>
    <w:multiLevelType w:val="multilevel"/>
    <w:tmpl w:val="71869A7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A6522D6"/>
    <w:multiLevelType w:val="hybridMultilevel"/>
    <w:tmpl w:val="CE82C73E"/>
    <w:lvl w:ilvl="0" w:tplc="EA020E3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416F26"/>
    <w:multiLevelType w:val="multilevel"/>
    <w:tmpl w:val="A15A85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C7D7ACE"/>
    <w:multiLevelType w:val="multilevel"/>
    <w:tmpl w:val="AE70B0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D997240"/>
    <w:multiLevelType w:val="hybridMultilevel"/>
    <w:tmpl w:val="DCB83BC8"/>
    <w:lvl w:ilvl="0" w:tplc="041A0001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063F6C"/>
    <w:multiLevelType w:val="multilevel"/>
    <w:tmpl w:val="90A2F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01B3D8B"/>
    <w:multiLevelType w:val="hybridMultilevel"/>
    <w:tmpl w:val="57D038C2"/>
    <w:lvl w:ilvl="0" w:tplc="041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3D67E9"/>
    <w:multiLevelType w:val="multilevel"/>
    <w:tmpl w:val="43E87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AA724B7"/>
    <w:multiLevelType w:val="multilevel"/>
    <w:tmpl w:val="AE70B0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ADD4D45"/>
    <w:multiLevelType w:val="multilevel"/>
    <w:tmpl w:val="12B8609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1"/>
  </w:num>
  <w:num w:numId="8">
    <w:abstractNumId w:val="5"/>
  </w:num>
  <w:num w:numId="9">
    <w:abstractNumId w:val="18"/>
  </w:num>
  <w:num w:numId="10">
    <w:abstractNumId w:val="14"/>
  </w:num>
  <w:num w:numId="11">
    <w:abstractNumId w:val="19"/>
  </w:num>
  <w:num w:numId="12">
    <w:abstractNumId w:val="13"/>
  </w:num>
  <w:num w:numId="13">
    <w:abstractNumId w:val="8"/>
  </w:num>
  <w:num w:numId="14">
    <w:abstractNumId w:val="16"/>
  </w:num>
  <w:num w:numId="15">
    <w:abstractNumId w:val="0"/>
  </w:num>
  <w:num w:numId="16">
    <w:abstractNumId w:val="10"/>
  </w:num>
  <w:num w:numId="17">
    <w:abstractNumId w:val="15"/>
  </w:num>
  <w:num w:numId="18">
    <w:abstractNumId w:val="6"/>
  </w:num>
  <w:num w:numId="19">
    <w:abstractNumId w:val="12"/>
  </w:num>
  <w:num w:numId="20">
    <w:abstractNumId w:val="2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03E44"/>
    <w:rsid w:val="0001083C"/>
    <w:rsid w:val="0001761C"/>
    <w:rsid w:val="000261DC"/>
    <w:rsid w:val="00030DC4"/>
    <w:rsid w:val="000342C8"/>
    <w:rsid w:val="000348C3"/>
    <w:rsid w:val="00041744"/>
    <w:rsid w:val="00072183"/>
    <w:rsid w:val="00074FBF"/>
    <w:rsid w:val="000817B1"/>
    <w:rsid w:val="00085B91"/>
    <w:rsid w:val="00095E69"/>
    <w:rsid w:val="00096401"/>
    <w:rsid w:val="000A1FF6"/>
    <w:rsid w:val="000A4817"/>
    <w:rsid w:val="000A647F"/>
    <w:rsid w:val="000E6554"/>
    <w:rsid w:val="00115FF7"/>
    <w:rsid w:val="0012224A"/>
    <w:rsid w:val="00123246"/>
    <w:rsid w:val="00124E4B"/>
    <w:rsid w:val="00130947"/>
    <w:rsid w:val="001340F1"/>
    <w:rsid w:val="00142A53"/>
    <w:rsid w:val="001434E2"/>
    <w:rsid w:val="00146EB7"/>
    <w:rsid w:val="0015642F"/>
    <w:rsid w:val="00160BF8"/>
    <w:rsid w:val="00160FEF"/>
    <w:rsid w:val="00186DBC"/>
    <w:rsid w:val="00191884"/>
    <w:rsid w:val="001B2421"/>
    <w:rsid w:val="001C7D42"/>
    <w:rsid w:val="001D4FCE"/>
    <w:rsid w:val="001D5297"/>
    <w:rsid w:val="001E05C8"/>
    <w:rsid w:val="002031D4"/>
    <w:rsid w:val="00217262"/>
    <w:rsid w:val="0023448D"/>
    <w:rsid w:val="00241B7D"/>
    <w:rsid w:val="002434FD"/>
    <w:rsid w:val="002513D2"/>
    <w:rsid w:val="00263BE7"/>
    <w:rsid w:val="002743E0"/>
    <w:rsid w:val="00283C73"/>
    <w:rsid w:val="00294542"/>
    <w:rsid w:val="002C0DF7"/>
    <w:rsid w:val="002C789A"/>
    <w:rsid w:val="002D6381"/>
    <w:rsid w:val="002E0988"/>
    <w:rsid w:val="002F0A69"/>
    <w:rsid w:val="002F40DC"/>
    <w:rsid w:val="00307E5A"/>
    <w:rsid w:val="00310D4A"/>
    <w:rsid w:val="00312535"/>
    <w:rsid w:val="0034117B"/>
    <w:rsid w:val="0034536A"/>
    <w:rsid w:val="003758C2"/>
    <w:rsid w:val="00383930"/>
    <w:rsid w:val="00390112"/>
    <w:rsid w:val="003C14FD"/>
    <w:rsid w:val="003C1DD4"/>
    <w:rsid w:val="003C790D"/>
    <w:rsid w:val="003E5AB9"/>
    <w:rsid w:val="004004DE"/>
    <w:rsid w:val="00410565"/>
    <w:rsid w:val="0043019B"/>
    <w:rsid w:val="00433ADB"/>
    <w:rsid w:val="0043625F"/>
    <w:rsid w:val="0044100D"/>
    <w:rsid w:val="004412B6"/>
    <w:rsid w:val="004509A8"/>
    <w:rsid w:val="00451590"/>
    <w:rsid w:val="0047101A"/>
    <w:rsid w:val="00476145"/>
    <w:rsid w:val="00476ECE"/>
    <w:rsid w:val="004868E9"/>
    <w:rsid w:val="004A264C"/>
    <w:rsid w:val="004A2899"/>
    <w:rsid w:val="004A6DF8"/>
    <w:rsid w:val="004A7986"/>
    <w:rsid w:val="004C1DF3"/>
    <w:rsid w:val="004C6FE6"/>
    <w:rsid w:val="004D221B"/>
    <w:rsid w:val="004D2AB9"/>
    <w:rsid w:val="004D44CD"/>
    <w:rsid w:val="004E190E"/>
    <w:rsid w:val="004E2371"/>
    <w:rsid w:val="004E7DE0"/>
    <w:rsid w:val="004F64A8"/>
    <w:rsid w:val="00502916"/>
    <w:rsid w:val="0050351E"/>
    <w:rsid w:val="005441AE"/>
    <w:rsid w:val="00544B37"/>
    <w:rsid w:val="00545FEE"/>
    <w:rsid w:val="005535AB"/>
    <w:rsid w:val="00575B50"/>
    <w:rsid w:val="00576844"/>
    <w:rsid w:val="005852DB"/>
    <w:rsid w:val="00585A57"/>
    <w:rsid w:val="00597556"/>
    <w:rsid w:val="00597F08"/>
    <w:rsid w:val="005B3AD8"/>
    <w:rsid w:val="005B459C"/>
    <w:rsid w:val="005E04EB"/>
    <w:rsid w:val="005E0C2B"/>
    <w:rsid w:val="005E41E0"/>
    <w:rsid w:val="00605356"/>
    <w:rsid w:val="006112B5"/>
    <w:rsid w:val="00635C60"/>
    <w:rsid w:val="006370AE"/>
    <w:rsid w:val="0064609E"/>
    <w:rsid w:val="006620AB"/>
    <w:rsid w:val="00666573"/>
    <w:rsid w:val="00677E12"/>
    <w:rsid w:val="006800D7"/>
    <w:rsid w:val="00683AE5"/>
    <w:rsid w:val="00685630"/>
    <w:rsid w:val="006A2554"/>
    <w:rsid w:val="006B0CD5"/>
    <w:rsid w:val="006B67B0"/>
    <w:rsid w:val="006C2EAF"/>
    <w:rsid w:val="006C341F"/>
    <w:rsid w:val="006C3AEC"/>
    <w:rsid w:val="006C634A"/>
    <w:rsid w:val="006D4397"/>
    <w:rsid w:val="006E63AB"/>
    <w:rsid w:val="006F02EB"/>
    <w:rsid w:val="006F4746"/>
    <w:rsid w:val="0070236D"/>
    <w:rsid w:val="00720AA0"/>
    <w:rsid w:val="00720BFF"/>
    <w:rsid w:val="007265EB"/>
    <w:rsid w:val="007307DB"/>
    <w:rsid w:val="00734012"/>
    <w:rsid w:val="007417FD"/>
    <w:rsid w:val="00746745"/>
    <w:rsid w:val="00750F2D"/>
    <w:rsid w:val="00782F1C"/>
    <w:rsid w:val="00785B0E"/>
    <w:rsid w:val="007910F2"/>
    <w:rsid w:val="00793E97"/>
    <w:rsid w:val="007A7574"/>
    <w:rsid w:val="007C3AD9"/>
    <w:rsid w:val="007E07AA"/>
    <w:rsid w:val="007E3604"/>
    <w:rsid w:val="007F08EF"/>
    <w:rsid w:val="007F4DF3"/>
    <w:rsid w:val="00811165"/>
    <w:rsid w:val="008166C7"/>
    <w:rsid w:val="008212CC"/>
    <w:rsid w:val="0083290B"/>
    <w:rsid w:val="00834EB6"/>
    <w:rsid w:val="00840A0B"/>
    <w:rsid w:val="00851CA6"/>
    <w:rsid w:val="0086112D"/>
    <w:rsid w:val="00861A09"/>
    <w:rsid w:val="00865D3D"/>
    <w:rsid w:val="00866F03"/>
    <w:rsid w:val="008924FD"/>
    <w:rsid w:val="008B0579"/>
    <w:rsid w:val="008B1EC3"/>
    <w:rsid w:val="008C3C35"/>
    <w:rsid w:val="008C708C"/>
    <w:rsid w:val="008E5571"/>
    <w:rsid w:val="008E6A87"/>
    <w:rsid w:val="008F07AC"/>
    <w:rsid w:val="0090471E"/>
    <w:rsid w:val="00906A3F"/>
    <w:rsid w:val="00913989"/>
    <w:rsid w:val="00913BA7"/>
    <w:rsid w:val="00930136"/>
    <w:rsid w:val="0094121D"/>
    <w:rsid w:val="009440D0"/>
    <w:rsid w:val="00945D3D"/>
    <w:rsid w:val="00954908"/>
    <w:rsid w:val="00974D10"/>
    <w:rsid w:val="00996CD6"/>
    <w:rsid w:val="00996F92"/>
    <w:rsid w:val="009A037B"/>
    <w:rsid w:val="009A2361"/>
    <w:rsid w:val="009B0052"/>
    <w:rsid w:val="009B3BE4"/>
    <w:rsid w:val="009C1DEC"/>
    <w:rsid w:val="009C593F"/>
    <w:rsid w:val="009C6C02"/>
    <w:rsid w:val="009C7B6C"/>
    <w:rsid w:val="009D1762"/>
    <w:rsid w:val="009D6378"/>
    <w:rsid w:val="009D7606"/>
    <w:rsid w:val="009E1CDF"/>
    <w:rsid w:val="009E29E2"/>
    <w:rsid w:val="00A135D8"/>
    <w:rsid w:val="00A150A9"/>
    <w:rsid w:val="00A15BB1"/>
    <w:rsid w:val="00A55030"/>
    <w:rsid w:val="00A56BF6"/>
    <w:rsid w:val="00A725DA"/>
    <w:rsid w:val="00A82740"/>
    <w:rsid w:val="00A834AE"/>
    <w:rsid w:val="00A92420"/>
    <w:rsid w:val="00AC4B46"/>
    <w:rsid w:val="00AE68AF"/>
    <w:rsid w:val="00AF6E0B"/>
    <w:rsid w:val="00B204E4"/>
    <w:rsid w:val="00B208D5"/>
    <w:rsid w:val="00B25D62"/>
    <w:rsid w:val="00B33FEC"/>
    <w:rsid w:val="00B341D0"/>
    <w:rsid w:val="00B448D9"/>
    <w:rsid w:val="00B44F01"/>
    <w:rsid w:val="00B533E4"/>
    <w:rsid w:val="00B566CC"/>
    <w:rsid w:val="00B623BF"/>
    <w:rsid w:val="00B62D22"/>
    <w:rsid w:val="00B63929"/>
    <w:rsid w:val="00B64809"/>
    <w:rsid w:val="00B656A0"/>
    <w:rsid w:val="00B66EEC"/>
    <w:rsid w:val="00B728C7"/>
    <w:rsid w:val="00B72BD0"/>
    <w:rsid w:val="00B76571"/>
    <w:rsid w:val="00BA1861"/>
    <w:rsid w:val="00BA190D"/>
    <w:rsid w:val="00BB7B04"/>
    <w:rsid w:val="00BC5F85"/>
    <w:rsid w:val="00BF07AA"/>
    <w:rsid w:val="00BF3A39"/>
    <w:rsid w:val="00BF57B0"/>
    <w:rsid w:val="00BF6309"/>
    <w:rsid w:val="00BF67C1"/>
    <w:rsid w:val="00C11657"/>
    <w:rsid w:val="00C22580"/>
    <w:rsid w:val="00C24CA0"/>
    <w:rsid w:val="00C27CEC"/>
    <w:rsid w:val="00C304B7"/>
    <w:rsid w:val="00C460C2"/>
    <w:rsid w:val="00C47D44"/>
    <w:rsid w:val="00C6458A"/>
    <w:rsid w:val="00C73A6A"/>
    <w:rsid w:val="00C85055"/>
    <w:rsid w:val="00C851B0"/>
    <w:rsid w:val="00C911F4"/>
    <w:rsid w:val="00CA07B3"/>
    <w:rsid w:val="00CA621F"/>
    <w:rsid w:val="00CB10AC"/>
    <w:rsid w:val="00CB26D7"/>
    <w:rsid w:val="00CC1DEB"/>
    <w:rsid w:val="00CC59EA"/>
    <w:rsid w:val="00CD047F"/>
    <w:rsid w:val="00CD2B45"/>
    <w:rsid w:val="00CD40ED"/>
    <w:rsid w:val="00CD6D67"/>
    <w:rsid w:val="00CE2DAB"/>
    <w:rsid w:val="00CE7681"/>
    <w:rsid w:val="00CF6C2C"/>
    <w:rsid w:val="00D23CF7"/>
    <w:rsid w:val="00D27FCA"/>
    <w:rsid w:val="00D3006C"/>
    <w:rsid w:val="00D30C0C"/>
    <w:rsid w:val="00D354CA"/>
    <w:rsid w:val="00D41EF7"/>
    <w:rsid w:val="00D57C6E"/>
    <w:rsid w:val="00D60276"/>
    <w:rsid w:val="00D64600"/>
    <w:rsid w:val="00D74E98"/>
    <w:rsid w:val="00D75B95"/>
    <w:rsid w:val="00D97A82"/>
    <w:rsid w:val="00DB1E2F"/>
    <w:rsid w:val="00DC085E"/>
    <w:rsid w:val="00DD18FF"/>
    <w:rsid w:val="00DE4165"/>
    <w:rsid w:val="00DE52E1"/>
    <w:rsid w:val="00DF24A8"/>
    <w:rsid w:val="00DF754B"/>
    <w:rsid w:val="00E01880"/>
    <w:rsid w:val="00E01928"/>
    <w:rsid w:val="00E2718A"/>
    <w:rsid w:val="00E4512C"/>
    <w:rsid w:val="00E67A69"/>
    <w:rsid w:val="00E71B24"/>
    <w:rsid w:val="00E811EF"/>
    <w:rsid w:val="00E840B8"/>
    <w:rsid w:val="00E930B4"/>
    <w:rsid w:val="00EA17C2"/>
    <w:rsid w:val="00EA2F9B"/>
    <w:rsid w:val="00EB4E15"/>
    <w:rsid w:val="00EC4A16"/>
    <w:rsid w:val="00EE14B4"/>
    <w:rsid w:val="00F001EF"/>
    <w:rsid w:val="00F137EF"/>
    <w:rsid w:val="00F325C6"/>
    <w:rsid w:val="00F32E00"/>
    <w:rsid w:val="00F374D7"/>
    <w:rsid w:val="00F45B83"/>
    <w:rsid w:val="00F46820"/>
    <w:rsid w:val="00F6295C"/>
    <w:rsid w:val="00F707D9"/>
    <w:rsid w:val="00F70B9E"/>
    <w:rsid w:val="00F8213C"/>
    <w:rsid w:val="00F84A18"/>
    <w:rsid w:val="00FA229F"/>
    <w:rsid w:val="00FA494F"/>
    <w:rsid w:val="00FA7689"/>
    <w:rsid w:val="00FB17EC"/>
    <w:rsid w:val="00FB57FB"/>
    <w:rsid w:val="00FD3C21"/>
    <w:rsid w:val="00FD5426"/>
    <w:rsid w:val="00FE1BE0"/>
    <w:rsid w:val="00FE7FAE"/>
    <w:rsid w:val="00FF4953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CFFA66"/>
  <w15:docId w15:val="{EF29A7CE-EB5D-4EB6-98D1-1AFF003E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6A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A25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46820"/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paragraph" w:customStyle="1" w:styleId="Points">
    <w:name w:val="Points"/>
    <w:basedOn w:val="ListBullet"/>
    <w:qFormat/>
    <w:rsid w:val="00F46820"/>
    <w:pPr>
      <w:numPr>
        <w:numId w:val="0"/>
      </w:numPr>
      <w:spacing w:after="0" w:line="240" w:lineRule="auto"/>
      <w:ind w:left="320" w:hanging="320"/>
      <w:jc w:val="both"/>
    </w:pPr>
    <w:rPr>
      <w:rFonts w:ascii="Calibri" w:eastAsia="Times New Roman" w:hAnsi="Calibri" w:cs="Times New Roman"/>
      <w:sz w:val="24"/>
      <w:szCs w:val="24"/>
      <w:lang w:val="en-GB" w:eastAsia="lt-LT"/>
    </w:rPr>
  </w:style>
  <w:style w:type="paragraph" w:styleId="ListBullet">
    <w:name w:val="List Bullet"/>
    <w:basedOn w:val="Normal"/>
    <w:uiPriority w:val="99"/>
    <w:semiHidden/>
    <w:unhideWhenUsed/>
    <w:rsid w:val="00F46820"/>
    <w:pPr>
      <w:numPr>
        <w:numId w:val="17"/>
      </w:numPr>
      <w:contextualSpacing/>
    </w:pPr>
  </w:style>
  <w:style w:type="paragraph" w:customStyle="1" w:styleId="Default">
    <w:name w:val="Default"/>
    <w:rsid w:val="009412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Reetkatablice3">
    <w:name w:val="Rešetka tablice3"/>
    <w:basedOn w:val="TableNormal"/>
    <w:next w:val="TableGrid"/>
    <w:uiPriority w:val="39"/>
    <w:rsid w:val="00945D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7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EAC7D-3249-4A27-95BA-8F2C2CC47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2218</Words>
  <Characters>12643</Characters>
  <Application>Microsoft Office Word</Application>
  <DocSecurity>0</DocSecurity>
  <Lines>105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MGIPU</Company>
  <LinksUpToDate>false</LinksUpToDate>
  <CharactersWithSpaces>14832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Vesna Benković</cp:lastModifiedBy>
  <cp:revision>4</cp:revision>
  <cp:lastPrinted>2014-11-11T08:38:00Z</cp:lastPrinted>
  <dcterms:created xsi:type="dcterms:W3CDTF">2018-01-15T11:25:00Z</dcterms:created>
  <dcterms:modified xsi:type="dcterms:W3CDTF">2018-01-15T12:32:00Z</dcterms:modified>
</cp:coreProperties>
</file>