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A2E0A" w14:textId="77777777" w:rsidR="00FE7D6E" w:rsidRPr="00EB32F7" w:rsidRDefault="00FE7D6E" w:rsidP="00B2544C">
      <w:pPr>
        <w:rPr>
          <w:rFonts w:ascii="Gill Sans MT" w:hAnsi="Gill Sans MT"/>
        </w:rPr>
      </w:pPr>
    </w:p>
    <w:p w14:paraId="71E51949" w14:textId="77777777" w:rsidR="00A24C72" w:rsidRPr="00EB32F7" w:rsidRDefault="00D112AD" w:rsidP="00A24C72">
      <w:pPr>
        <w:tabs>
          <w:tab w:val="left" w:pos="6047"/>
        </w:tabs>
        <w:spacing w:after="0" w:line="240" w:lineRule="auto"/>
        <w:jc w:val="center"/>
        <w:outlineLvl w:val="1"/>
        <w:rPr>
          <w:rFonts w:ascii="Gill Sans MT" w:eastAsia="Times New Roman" w:hAnsi="Gill Sans MT" w:cstheme="minorHAnsi"/>
          <w:bCs/>
          <w:i/>
          <w:sz w:val="32"/>
          <w:szCs w:val="32"/>
          <w:lang w:eastAsia="ar-SA"/>
        </w:rPr>
      </w:pPr>
      <w:r w:rsidRPr="00EB32F7">
        <w:rPr>
          <w:rFonts w:ascii="Gill Sans MT" w:eastAsia="Times New Roman" w:hAnsi="Gill Sans MT" w:cstheme="minorHAnsi"/>
          <w:b/>
          <w:sz w:val="32"/>
          <w:szCs w:val="32"/>
        </w:rPr>
        <w:t>SAŽETAK POZIVA</w:t>
      </w:r>
    </w:p>
    <w:p w14:paraId="7D07F5D5" w14:textId="77777777" w:rsidR="00D52FE9" w:rsidRPr="00EB32F7" w:rsidRDefault="00D52FE9" w:rsidP="00FC5CEB">
      <w:pPr>
        <w:tabs>
          <w:tab w:val="center" w:pos="4320"/>
          <w:tab w:val="right" w:pos="8640"/>
        </w:tabs>
        <w:spacing w:after="0" w:line="240" w:lineRule="auto"/>
        <w:rPr>
          <w:rFonts w:ascii="Gill Sans MT" w:eastAsia="Times New Roman" w:hAnsi="Gill Sans MT" w:cstheme="minorHAnsi"/>
          <w:bCs/>
          <w:lang w:eastAsia="ar-SA"/>
        </w:rPr>
      </w:pPr>
    </w:p>
    <w:p w14:paraId="356EF75F" w14:textId="77777777" w:rsidR="00D112AD" w:rsidRPr="00EB32F7" w:rsidRDefault="00D112AD" w:rsidP="00D112AD">
      <w:pPr>
        <w:jc w:val="center"/>
        <w:rPr>
          <w:rFonts w:ascii="Gill Sans MT" w:hAnsi="Gill Sans MT" w:cstheme="minorHAnsi"/>
          <w:sz w:val="24"/>
          <w:szCs w:val="24"/>
        </w:rPr>
      </w:pPr>
      <w:r w:rsidRPr="00EB32F7">
        <w:rPr>
          <w:rFonts w:ascii="Gill Sans MT" w:hAnsi="Gill Sans MT" w:cstheme="minorHAnsi"/>
          <w:spacing w:val="2"/>
          <w:sz w:val="24"/>
          <w:szCs w:val="24"/>
        </w:rPr>
        <w:t>Poziv</w:t>
      </w:r>
      <w:r w:rsidRPr="00EB32F7">
        <w:rPr>
          <w:rFonts w:ascii="Gill Sans MT" w:hAnsi="Gill Sans MT" w:cstheme="minorHAnsi"/>
          <w:sz w:val="24"/>
          <w:szCs w:val="24"/>
        </w:rPr>
        <w:t xml:space="preserve"> na</w:t>
      </w:r>
      <w:r w:rsidRPr="00EB32F7">
        <w:rPr>
          <w:rFonts w:ascii="Gill Sans MT" w:hAnsi="Gill Sans MT" w:cstheme="minorHAnsi"/>
          <w:spacing w:val="-3"/>
          <w:sz w:val="24"/>
          <w:szCs w:val="24"/>
        </w:rPr>
        <w:t xml:space="preserve"> </w:t>
      </w:r>
      <w:r w:rsidRPr="00EB32F7">
        <w:rPr>
          <w:rFonts w:ascii="Gill Sans MT" w:hAnsi="Gill Sans MT" w:cstheme="minorHAnsi"/>
          <w:sz w:val="24"/>
          <w:szCs w:val="24"/>
        </w:rPr>
        <w:t>dos</w:t>
      </w:r>
      <w:r w:rsidRPr="00EB32F7">
        <w:rPr>
          <w:rFonts w:ascii="Gill Sans MT" w:hAnsi="Gill Sans MT" w:cstheme="minorHAnsi"/>
          <w:spacing w:val="-1"/>
          <w:sz w:val="24"/>
          <w:szCs w:val="24"/>
        </w:rPr>
        <w:t>t</w:t>
      </w:r>
      <w:r w:rsidRPr="00EB32F7">
        <w:rPr>
          <w:rFonts w:ascii="Gill Sans MT" w:hAnsi="Gill Sans MT" w:cstheme="minorHAnsi"/>
          <w:sz w:val="24"/>
          <w:szCs w:val="24"/>
        </w:rPr>
        <w:t xml:space="preserve">avu </w:t>
      </w:r>
      <w:r w:rsidRPr="00EB32F7">
        <w:rPr>
          <w:rFonts w:ascii="Gill Sans MT" w:hAnsi="Gill Sans MT" w:cstheme="minorHAnsi"/>
          <w:spacing w:val="-1"/>
          <w:sz w:val="24"/>
          <w:szCs w:val="24"/>
        </w:rPr>
        <w:t>p</w:t>
      </w:r>
      <w:r w:rsidRPr="00EB32F7">
        <w:rPr>
          <w:rFonts w:ascii="Gill Sans MT" w:hAnsi="Gill Sans MT" w:cstheme="minorHAnsi"/>
          <w:sz w:val="24"/>
          <w:szCs w:val="24"/>
        </w:rPr>
        <w:t>r</w:t>
      </w:r>
      <w:r w:rsidRPr="00EB32F7">
        <w:rPr>
          <w:rFonts w:ascii="Gill Sans MT" w:hAnsi="Gill Sans MT" w:cstheme="minorHAnsi"/>
          <w:spacing w:val="-2"/>
          <w:sz w:val="24"/>
          <w:szCs w:val="24"/>
        </w:rPr>
        <w:t>o</w:t>
      </w:r>
      <w:r w:rsidRPr="00EB32F7">
        <w:rPr>
          <w:rFonts w:ascii="Gill Sans MT" w:hAnsi="Gill Sans MT" w:cstheme="minorHAnsi"/>
          <w:spacing w:val="1"/>
          <w:sz w:val="24"/>
          <w:szCs w:val="24"/>
        </w:rPr>
        <w:t>j</w:t>
      </w:r>
      <w:r w:rsidRPr="00EB32F7">
        <w:rPr>
          <w:rFonts w:ascii="Gill Sans MT" w:hAnsi="Gill Sans MT" w:cstheme="minorHAnsi"/>
          <w:sz w:val="24"/>
          <w:szCs w:val="24"/>
        </w:rPr>
        <w:t>e</w:t>
      </w:r>
      <w:r w:rsidRPr="00EB32F7">
        <w:rPr>
          <w:rFonts w:ascii="Gill Sans MT" w:hAnsi="Gill Sans MT" w:cstheme="minorHAnsi"/>
          <w:spacing w:val="-2"/>
          <w:sz w:val="24"/>
          <w:szCs w:val="24"/>
        </w:rPr>
        <w:t>kt</w:t>
      </w:r>
      <w:r w:rsidRPr="00EB32F7">
        <w:rPr>
          <w:rFonts w:ascii="Gill Sans MT" w:hAnsi="Gill Sans MT" w:cstheme="minorHAnsi"/>
          <w:sz w:val="24"/>
          <w:szCs w:val="24"/>
        </w:rPr>
        <w:t>nih pr</w:t>
      </w:r>
      <w:r w:rsidRPr="00EB32F7">
        <w:rPr>
          <w:rFonts w:ascii="Gill Sans MT" w:hAnsi="Gill Sans MT" w:cstheme="minorHAnsi"/>
          <w:spacing w:val="-1"/>
          <w:sz w:val="24"/>
          <w:szCs w:val="24"/>
        </w:rPr>
        <w:t>i</w:t>
      </w:r>
      <w:r w:rsidRPr="00EB32F7">
        <w:rPr>
          <w:rFonts w:ascii="Gill Sans MT" w:hAnsi="Gill Sans MT" w:cstheme="minorHAnsi"/>
          <w:spacing w:val="1"/>
          <w:sz w:val="24"/>
          <w:szCs w:val="24"/>
        </w:rPr>
        <w:t>j</w:t>
      </w:r>
      <w:r w:rsidRPr="00EB32F7">
        <w:rPr>
          <w:rFonts w:ascii="Gill Sans MT" w:hAnsi="Gill Sans MT" w:cstheme="minorHAnsi"/>
          <w:sz w:val="24"/>
          <w:szCs w:val="24"/>
        </w:rPr>
        <w:t>e</w:t>
      </w:r>
      <w:r w:rsidRPr="00EB32F7">
        <w:rPr>
          <w:rFonts w:ascii="Gill Sans MT" w:hAnsi="Gill Sans MT" w:cstheme="minorHAnsi"/>
          <w:spacing w:val="-2"/>
          <w:sz w:val="24"/>
          <w:szCs w:val="24"/>
        </w:rPr>
        <w:t>d</w:t>
      </w:r>
      <w:r w:rsidRPr="00EB32F7">
        <w:rPr>
          <w:rFonts w:ascii="Gill Sans MT" w:hAnsi="Gill Sans MT" w:cstheme="minorHAnsi"/>
          <w:spacing w:val="1"/>
          <w:sz w:val="24"/>
          <w:szCs w:val="24"/>
        </w:rPr>
        <w:t>l</w:t>
      </w:r>
      <w:r w:rsidRPr="00EB32F7">
        <w:rPr>
          <w:rFonts w:ascii="Gill Sans MT" w:hAnsi="Gill Sans MT" w:cstheme="minorHAnsi"/>
          <w:sz w:val="24"/>
          <w:szCs w:val="24"/>
        </w:rPr>
        <w:t>oga</w:t>
      </w:r>
    </w:p>
    <w:p w14:paraId="7D14CF40" w14:textId="77777777" w:rsidR="00D112AD" w:rsidRPr="00EB32F7" w:rsidRDefault="00D112AD" w:rsidP="00D112AD">
      <w:pPr>
        <w:jc w:val="center"/>
        <w:rPr>
          <w:rFonts w:ascii="Gill Sans MT" w:hAnsi="Gill Sans MT" w:cstheme="minorHAnsi"/>
          <w:sz w:val="24"/>
          <w:szCs w:val="24"/>
        </w:rPr>
      </w:pPr>
      <w:r w:rsidRPr="00EB32F7">
        <w:rPr>
          <w:rFonts w:ascii="Gill Sans MT" w:hAnsi="Gill Sans MT" w:cstheme="minorHAnsi"/>
          <w:sz w:val="24"/>
          <w:szCs w:val="24"/>
        </w:rPr>
        <w:t>u ograničenom postupku dodjele bespovratnih sredstava</w:t>
      </w:r>
    </w:p>
    <w:p w14:paraId="225FBEFE" w14:textId="10AF02F6" w:rsidR="00733058" w:rsidRPr="00EB32F7" w:rsidRDefault="00733058" w:rsidP="001814CD">
      <w:pPr>
        <w:pStyle w:val="Title"/>
      </w:pPr>
      <w:r w:rsidRPr="00EB32F7">
        <w:t>Provedba Inte</w:t>
      </w:r>
      <w:r w:rsidR="00F3580D" w:rsidRPr="00EB32F7">
        <w:t xml:space="preserve">rvencijskog plana Grada </w:t>
      </w:r>
      <w:r w:rsidR="00B77E6D">
        <w:t>Knina</w:t>
      </w:r>
      <w:r w:rsidR="00EB32F7" w:rsidRPr="00EB32F7">
        <w:t xml:space="preserve"> </w:t>
      </w:r>
    </w:p>
    <w:p w14:paraId="4E2EC9C0" w14:textId="48F83F88" w:rsidR="00D112AD" w:rsidRPr="00EB32F7" w:rsidRDefault="00D112AD" w:rsidP="00D112AD">
      <w:pPr>
        <w:jc w:val="center"/>
        <w:rPr>
          <w:rFonts w:ascii="Gill Sans MT" w:hAnsi="Gill Sans MT" w:cstheme="minorHAnsi"/>
          <w:b/>
          <w:spacing w:val="4"/>
          <w:sz w:val="24"/>
          <w:szCs w:val="24"/>
        </w:rPr>
      </w:pPr>
      <w:r w:rsidRPr="00EB32F7">
        <w:rPr>
          <w:rFonts w:ascii="Gill Sans MT" w:hAnsi="Gill Sans MT" w:cstheme="minorHAnsi"/>
          <w:b/>
          <w:sz w:val="24"/>
          <w:szCs w:val="24"/>
        </w:rPr>
        <w:t>Referentna oznaka:</w:t>
      </w:r>
      <w:r w:rsidRPr="00EB32F7">
        <w:rPr>
          <w:rFonts w:ascii="Gill Sans MT" w:hAnsi="Gill Sans MT" w:cstheme="minorHAnsi"/>
          <w:b/>
          <w:spacing w:val="4"/>
          <w:sz w:val="24"/>
          <w:szCs w:val="24"/>
        </w:rPr>
        <w:t xml:space="preserve"> </w:t>
      </w:r>
      <w:r w:rsidR="00651DFD">
        <w:rPr>
          <w:rFonts w:ascii="Gill Sans MT" w:hAnsi="Gill Sans MT" w:cstheme="minorHAnsi"/>
          <w:spacing w:val="4"/>
          <w:sz w:val="24"/>
          <w:szCs w:val="24"/>
        </w:rPr>
        <w:t>KK.08.2.1.09</w:t>
      </w:r>
      <w:bookmarkStart w:id="0" w:name="_GoBack"/>
      <w:bookmarkEnd w:id="0"/>
    </w:p>
    <w:p w14:paraId="73FE9C6B" w14:textId="77777777" w:rsidR="003521EE" w:rsidRPr="00EB32F7" w:rsidRDefault="003521EE" w:rsidP="003521EE">
      <w:pPr>
        <w:tabs>
          <w:tab w:val="center" w:pos="4320"/>
          <w:tab w:val="right" w:pos="8640"/>
        </w:tabs>
        <w:spacing w:after="0" w:line="240" w:lineRule="auto"/>
        <w:jc w:val="center"/>
        <w:rPr>
          <w:rFonts w:ascii="Gill Sans MT" w:eastAsia="Times New Roman" w:hAnsi="Gill Sans MT" w:cstheme="minorHAnsi"/>
          <w:bCs/>
          <w:lang w:val="en-US" w:eastAsia="ar-SA"/>
        </w:rPr>
      </w:pPr>
    </w:p>
    <w:p w14:paraId="09C3B4A1" w14:textId="77777777" w:rsidR="003521EE" w:rsidRPr="00EB32F7" w:rsidRDefault="003521EE" w:rsidP="003521EE">
      <w:pPr>
        <w:tabs>
          <w:tab w:val="center" w:pos="4320"/>
          <w:tab w:val="right" w:pos="8640"/>
        </w:tabs>
        <w:spacing w:after="0" w:line="240" w:lineRule="auto"/>
        <w:jc w:val="center"/>
        <w:rPr>
          <w:rFonts w:ascii="Gill Sans MT" w:eastAsia="Times New Roman" w:hAnsi="Gill Sans MT" w:cstheme="minorHAnsi"/>
          <w:bCs/>
          <w:lang w:val="en-US" w:eastAsia="ar-SA"/>
        </w:rPr>
      </w:pPr>
    </w:p>
    <w:p w14:paraId="33F52C6D" w14:textId="77777777" w:rsidR="001814CD" w:rsidRPr="00EB32F7" w:rsidRDefault="001814CD" w:rsidP="001814CD">
      <w:pPr>
        <w:pStyle w:val="ListParagraph"/>
        <w:numPr>
          <w:ilvl w:val="0"/>
          <w:numId w:val="1"/>
        </w:numPr>
        <w:tabs>
          <w:tab w:val="center" w:pos="4320"/>
          <w:tab w:val="right" w:pos="8640"/>
        </w:tabs>
        <w:spacing w:after="0" w:line="240" w:lineRule="auto"/>
        <w:rPr>
          <w:rStyle w:val="hps"/>
          <w:rFonts w:ascii="Gill Sans MT" w:eastAsia="Times New Roman" w:hAnsi="Gill Sans MT" w:cstheme="minorHAnsi"/>
          <w:b/>
          <w:bCs/>
          <w:color w:val="EE7F1A"/>
          <w:lang w:val="en-US" w:eastAsia="ar-SA"/>
        </w:rPr>
      </w:pPr>
      <w:r w:rsidRPr="00EB32F7">
        <w:rPr>
          <w:rStyle w:val="hps"/>
          <w:rFonts w:ascii="Gill Sans MT" w:hAnsi="Gill Sans MT" w:cstheme="minorHAnsi"/>
          <w:b/>
          <w:color w:val="EE7F1A"/>
        </w:rPr>
        <w:t>Predmet i svrha</w:t>
      </w:r>
      <w:r w:rsidRPr="00EB32F7">
        <w:rPr>
          <w:rFonts w:ascii="Gill Sans MT" w:hAnsi="Gill Sans MT" w:cstheme="minorHAnsi"/>
          <w:b/>
          <w:color w:val="EE7F1A"/>
        </w:rPr>
        <w:t xml:space="preserve"> </w:t>
      </w:r>
      <w:r w:rsidRPr="00EB32F7">
        <w:rPr>
          <w:rStyle w:val="hps"/>
          <w:rFonts w:ascii="Gill Sans MT" w:hAnsi="Gill Sans MT" w:cstheme="minorHAnsi"/>
          <w:b/>
          <w:color w:val="EE7F1A"/>
        </w:rPr>
        <w:t>poziva</w:t>
      </w:r>
    </w:p>
    <w:p w14:paraId="5FB62451" w14:textId="77777777" w:rsidR="004806F4" w:rsidRPr="00EB32F7" w:rsidRDefault="004806F4" w:rsidP="004806F4">
      <w:pPr>
        <w:pStyle w:val="ListParagraph"/>
        <w:tabs>
          <w:tab w:val="center" w:pos="4320"/>
          <w:tab w:val="right" w:pos="8640"/>
        </w:tabs>
        <w:spacing w:after="0" w:line="240" w:lineRule="auto"/>
        <w:rPr>
          <w:rStyle w:val="hps"/>
          <w:rFonts w:ascii="Gill Sans MT" w:hAnsi="Gill Sans MT" w:cstheme="minorHAnsi"/>
        </w:rPr>
      </w:pPr>
    </w:p>
    <w:p w14:paraId="699C25A5" w14:textId="00D6B899" w:rsidR="006F0D27" w:rsidRPr="00F67E5C" w:rsidRDefault="006F0D27" w:rsidP="00B77E6D">
      <w:pPr>
        <w:jc w:val="both"/>
        <w:rPr>
          <w:noProof/>
        </w:rPr>
      </w:pPr>
      <w:r w:rsidRPr="00F67E5C">
        <w:rPr>
          <w:rStyle w:val="Emphasis"/>
        </w:rPr>
        <w:t>Predmet Poziva:</w:t>
      </w:r>
      <w:r w:rsidRPr="00F67E5C">
        <w:t xml:space="preserve"> </w:t>
      </w:r>
      <w:r w:rsidRPr="00F67E5C">
        <w:rPr>
          <w:noProof/>
        </w:rPr>
        <w:t>Provedba Inte</w:t>
      </w:r>
      <w:r>
        <w:rPr>
          <w:noProof/>
        </w:rPr>
        <w:t xml:space="preserve">rvencijskog plana </w:t>
      </w:r>
      <w:r w:rsidR="00B77E6D">
        <w:rPr>
          <w:noProof/>
        </w:rPr>
        <w:t>Grada Knina</w:t>
      </w:r>
      <w:r w:rsidRPr="00F67E5C">
        <w:rPr>
          <w:noProof/>
        </w:rPr>
        <w:t xml:space="preserve"> kroz ulaganja predviđena Akcijskim planom.</w:t>
      </w:r>
    </w:p>
    <w:p w14:paraId="265D0C33" w14:textId="6F54AA9C" w:rsidR="006F0D27" w:rsidRPr="00F67E5C" w:rsidRDefault="006F0D27" w:rsidP="00B77E6D">
      <w:pPr>
        <w:jc w:val="both"/>
      </w:pPr>
      <w:r w:rsidRPr="00F67E5C">
        <w:rPr>
          <w:rStyle w:val="Emphasis"/>
        </w:rPr>
        <w:t>Svrha (cilj) Poziva</w:t>
      </w:r>
      <w:r w:rsidRPr="00F67E5C">
        <w:t xml:space="preserve">: </w:t>
      </w:r>
      <w:r w:rsidRPr="00F67E5C">
        <w:rPr>
          <w:noProof/>
        </w:rPr>
        <w:t>Održiva fizička, socijalna i gospoda</w:t>
      </w:r>
      <w:r w:rsidR="00B77E6D">
        <w:rPr>
          <w:noProof/>
        </w:rPr>
        <w:t>rska regeneracija Grada Knina</w:t>
      </w:r>
      <w:r>
        <w:rPr>
          <w:noProof/>
        </w:rPr>
        <w:t xml:space="preserve"> s </w:t>
      </w:r>
      <w:r w:rsidRPr="00F67E5C">
        <w:rPr>
          <w:noProof/>
        </w:rPr>
        <w:t xml:space="preserve">ciljem smanjenja socijalnih nejednakosti, isključenosti i siromaštva. </w:t>
      </w:r>
    </w:p>
    <w:p w14:paraId="5AA9D186" w14:textId="77777777" w:rsidR="004806F4" w:rsidRPr="00EB32F7" w:rsidRDefault="004806F4" w:rsidP="004806F4">
      <w:pPr>
        <w:pStyle w:val="ListParagraph"/>
        <w:tabs>
          <w:tab w:val="center" w:pos="4320"/>
          <w:tab w:val="right" w:pos="8640"/>
        </w:tabs>
        <w:spacing w:after="0" w:line="240" w:lineRule="auto"/>
        <w:rPr>
          <w:rStyle w:val="hps"/>
          <w:rFonts w:ascii="Gill Sans MT" w:hAnsi="Gill Sans MT" w:cstheme="minorHAnsi"/>
        </w:rPr>
      </w:pPr>
    </w:p>
    <w:p w14:paraId="3FD7E915" w14:textId="77777777" w:rsidR="004806F4" w:rsidRPr="00EB32F7" w:rsidRDefault="004806F4" w:rsidP="004806F4">
      <w:pPr>
        <w:pStyle w:val="ListParagraph"/>
        <w:tabs>
          <w:tab w:val="center" w:pos="4320"/>
          <w:tab w:val="right" w:pos="8640"/>
        </w:tabs>
        <w:spacing w:after="0" w:line="240" w:lineRule="auto"/>
        <w:rPr>
          <w:rStyle w:val="hps"/>
          <w:rFonts w:ascii="Gill Sans MT" w:eastAsia="Times New Roman" w:hAnsi="Gill Sans MT" w:cstheme="minorHAnsi"/>
          <w:bCs/>
          <w:lang w:eastAsia="ar-SA"/>
        </w:rPr>
      </w:pPr>
    </w:p>
    <w:p w14:paraId="59159794" w14:textId="77777777" w:rsidR="001814CD" w:rsidRPr="00EB32F7" w:rsidRDefault="001814CD" w:rsidP="001814CD">
      <w:pPr>
        <w:pStyle w:val="ListParagraph"/>
        <w:numPr>
          <w:ilvl w:val="0"/>
          <w:numId w:val="1"/>
        </w:numPr>
        <w:rPr>
          <w:rStyle w:val="hps"/>
          <w:rFonts w:ascii="Gill Sans MT" w:hAnsi="Gill Sans MT" w:cstheme="minorHAnsi"/>
          <w:b/>
          <w:color w:val="EF7F24"/>
        </w:rPr>
      </w:pPr>
      <w:r w:rsidRPr="00EB32F7">
        <w:rPr>
          <w:rStyle w:val="hps"/>
          <w:rFonts w:ascii="Gill Sans MT" w:hAnsi="Gill Sans MT" w:cstheme="minorHAnsi"/>
          <w:b/>
          <w:color w:val="EF7F24"/>
        </w:rPr>
        <w:t>Financijska alokacija, iznos i intenzitet bespovratnih sredstava</w:t>
      </w:r>
    </w:p>
    <w:p w14:paraId="2C64F783" w14:textId="77777777" w:rsidR="00387851" w:rsidRPr="00EB32F7" w:rsidRDefault="00387851" w:rsidP="00387851">
      <w:pPr>
        <w:pStyle w:val="ListParagraph"/>
        <w:tabs>
          <w:tab w:val="center" w:pos="4320"/>
          <w:tab w:val="right" w:pos="8640"/>
        </w:tabs>
        <w:spacing w:after="0" w:line="240" w:lineRule="auto"/>
        <w:rPr>
          <w:rStyle w:val="hps"/>
          <w:rFonts w:ascii="Gill Sans MT" w:hAnsi="Gill Sans MT" w:cstheme="minorHAnsi"/>
        </w:rPr>
      </w:pPr>
    </w:p>
    <w:p w14:paraId="387821E6" w14:textId="5C704BBA" w:rsidR="0062170F" w:rsidRPr="00EB32F7" w:rsidRDefault="006F0D27" w:rsidP="00EB32F7">
      <w:pPr>
        <w:rPr>
          <w:rFonts w:ascii="Gill Sans MT" w:eastAsia="Calibri" w:hAnsi="Gill Sans MT"/>
          <w:b/>
          <w:lang w:eastAsia="lt-LT"/>
        </w:rPr>
      </w:pPr>
      <w:r w:rsidRPr="00F67E5C">
        <w:rPr>
          <w:rFonts w:eastAsia="Calibri"/>
          <w:lang w:eastAsia="lt-LT"/>
        </w:rPr>
        <w:t xml:space="preserve">Ukupan raspoloživ iznos bespovratnih sredstava za dodjelu u okviru ovog Poziva je </w:t>
      </w:r>
      <w:r w:rsidR="001D2BAA">
        <w:rPr>
          <w:rFonts w:eastAsia="Calibri"/>
          <w:b/>
          <w:lang w:eastAsia="lt-LT"/>
        </w:rPr>
        <w:t>106.335.000</w:t>
      </w:r>
      <w:r w:rsidRPr="00F67E5C">
        <w:rPr>
          <w:rFonts w:eastAsia="Calibri"/>
          <w:b/>
          <w:lang w:eastAsia="lt-LT"/>
        </w:rPr>
        <w:t xml:space="preserve">,00 </w:t>
      </w:r>
      <w:r w:rsidRPr="00F67E5C">
        <w:rPr>
          <w:b/>
        </w:rPr>
        <w:t>HRK</w:t>
      </w:r>
      <w:r w:rsidR="0062170F" w:rsidRPr="00EB32F7">
        <w:rPr>
          <w:rFonts w:ascii="Gill Sans MT" w:eastAsia="Calibri" w:hAnsi="Gill Sans MT"/>
          <w:b/>
          <w:lang w:eastAsia="lt-LT"/>
        </w:rPr>
        <w:t>.</w:t>
      </w:r>
      <w:r w:rsidR="001814CD" w:rsidRPr="00EB32F7">
        <w:rPr>
          <w:rFonts w:ascii="Gill Sans MT" w:eastAsia="Calibri" w:hAnsi="Gill Sans MT"/>
          <w:b/>
          <w:lang w:eastAsia="lt-LT"/>
        </w:rPr>
        <w:t xml:space="preserve"> </w:t>
      </w:r>
      <w:r w:rsidR="00FB3C51" w:rsidRPr="00EB32F7">
        <w:rPr>
          <w:rFonts w:ascii="Gill Sans MT" w:hAnsi="Gill Sans MT"/>
        </w:rPr>
        <w:t>Upravljačko tijelo</w:t>
      </w:r>
      <w:r w:rsidR="0062170F" w:rsidRPr="00EB32F7">
        <w:rPr>
          <w:rFonts w:ascii="Gill Sans MT" w:hAnsi="Gill Sans MT"/>
        </w:rPr>
        <w:t xml:space="preserve"> zadržava pravo ne dodijeliti sva raspoloživa sredstva u okviru ovog Poziva.</w:t>
      </w:r>
    </w:p>
    <w:p w14:paraId="73B94F11" w14:textId="77777777" w:rsidR="001814CD" w:rsidRPr="00EB32F7" w:rsidRDefault="001814CD" w:rsidP="001814CD">
      <w:pPr>
        <w:jc w:val="both"/>
        <w:rPr>
          <w:rFonts w:ascii="Gill Sans MT" w:hAnsi="Gill Sans MT"/>
        </w:rPr>
      </w:pPr>
      <w:r w:rsidRPr="00EB32F7">
        <w:rPr>
          <w:rFonts w:ascii="Gill Sans MT" w:hAnsi="Gill Sans MT"/>
          <w:noProof/>
        </w:rPr>
        <w:t xml:space="preserve">Postotak sufinanciranja bespovratnih sredstava po pojedinom projektu smije iznositi maksimalno </w:t>
      </w:r>
      <w:r w:rsidRPr="00EB32F7">
        <w:rPr>
          <w:rFonts w:ascii="Gill Sans MT" w:hAnsi="Gill Sans MT"/>
          <w:b/>
          <w:noProof/>
        </w:rPr>
        <w:t>85% prihvatljivih izdataka</w:t>
      </w:r>
      <w:r w:rsidRPr="00EB32F7">
        <w:rPr>
          <w:rFonts w:ascii="Gill Sans MT" w:hAnsi="Gill Sans MT"/>
          <w:noProof/>
        </w:rPr>
        <w:t xml:space="preserve">. </w:t>
      </w:r>
      <w:r w:rsidRPr="00EB32F7">
        <w:rPr>
          <w:rFonts w:ascii="Gill Sans MT" w:hAnsi="Gill Sans MT"/>
        </w:rPr>
        <w:t xml:space="preserve"> </w:t>
      </w:r>
    </w:p>
    <w:p w14:paraId="271B2933" w14:textId="77777777" w:rsidR="00387851" w:rsidRPr="00EB32F7" w:rsidRDefault="00387851" w:rsidP="00387851">
      <w:pPr>
        <w:tabs>
          <w:tab w:val="center" w:pos="4320"/>
          <w:tab w:val="right" w:pos="8640"/>
        </w:tabs>
        <w:spacing w:after="0" w:line="240" w:lineRule="auto"/>
        <w:rPr>
          <w:rFonts w:ascii="Gill Sans MT" w:eastAsia="Times New Roman" w:hAnsi="Gill Sans MT" w:cstheme="minorHAnsi"/>
          <w:bCs/>
          <w:lang w:val="en-US" w:eastAsia="ar-SA"/>
        </w:rPr>
      </w:pPr>
    </w:p>
    <w:p w14:paraId="58086444" w14:textId="77777777" w:rsidR="00D52FE9" w:rsidRPr="00EB32F7" w:rsidRDefault="00BF18E3" w:rsidP="00D52FE9">
      <w:pPr>
        <w:pStyle w:val="ListParagraph"/>
        <w:numPr>
          <w:ilvl w:val="0"/>
          <w:numId w:val="1"/>
        </w:numPr>
        <w:tabs>
          <w:tab w:val="center" w:pos="4320"/>
          <w:tab w:val="right" w:pos="8640"/>
        </w:tabs>
        <w:spacing w:after="0" w:line="240" w:lineRule="auto"/>
        <w:rPr>
          <w:rStyle w:val="hps"/>
          <w:rFonts w:ascii="Gill Sans MT" w:eastAsia="Times New Roman" w:hAnsi="Gill Sans MT" w:cstheme="minorHAnsi"/>
          <w:b/>
          <w:bCs/>
          <w:color w:val="EF7F24"/>
          <w:lang w:val="en-US" w:eastAsia="ar-SA"/>
        </w:rPr>
      </w:pPr>
      <w:r w:rsidRPr="00EB32F7">
        <w:rPr>
          <w:rStyle w:val="hps"/>
          <w:rFonts w:ascii="Gill Sans MT" w:hAnsi="Gill Sans MT" w:cstheme="minorHAnsi"/>
          <w:b/>
          <w:color w:val="EF7F24"/>
        </w:rPr>
        <w:t>Pr</w:t>
      </w:r>
      <w:r w:rsidR="000524BE" w:rsidRPr="00EB32F7">
        <w:rPr>
          <w:rStyle w:val="hps"/>
          <w:rFonts w:ascii="Gill Sans MT" w:hAnsi="Gill Sans MT" w:cstheme="minorHAnsi"/>
          <w:b/>
          <w:color w:val="EF7F24"/>
        </w:rPr>
        <w:t>i</w:t>
      </w:r>
      <w:r w:rsidR="00B9154C" w:rsidRPr="00EB32F7">
        <w:rPr>
          <w:rStyle w:val="hps"/>
          <w:rFonts w:ascii="Gill Sans MT" w:hAnsi="Gill Sans MT" w:cstheme="minorHAnsi"/>
          <w:b/>
          <w:color w:val="EF7F24"/>
        </w:rPr>
        <w:t>hvatljivi pr</w:t>
      </w:r>
      <w:r w:rsidR="00D52FE9" w:rsidRPr="00EB32F7">
        <w:rPr>
          <w:rStyle w:val="hps"/>
          <w:rFonts w:ascii="Gill Sans MT" w:hAnsi="Gill Sans MT" w:cstheme="minorHAnsi"/>
          <w:b/>
          <w:color w:val="EF7F24"/>
        </w:rPr>
        <w:t>ijavitelji</w:t>
      </w:r>
      <w:r w:rsidR="001C14DE" w:rsidRPr="00EB32F7">
        <w:rPr>
          <w:rStyle w:val="hps"/>
          <w:rFonts w:ascii="Gill Sans MT" w:hAnsi="Gill Sans MT" w:cstheme="minorHAnsi"/>
          <w:b/>
          <w:color w:val="EF7F24"/>
        </w:rPr>
        <w:t xml:space="preserve"> i partneri</w:t>
      </w:r>
    </w:p>
    <w:p w14:paraId="54FB5D44" w14:textId="77777777" w:rsidR="00387851" w:rsidRPr="00EB32F7" w:rsidRDefault="00387851" w:rsidP="00387851">
      <w:pPr>
        <w:tabs>
          <w:tab w:val="center" w:pos="4320"/>
          <w:tab w:val="right" w:pos="8640"/>
        </w:tabs>
        <w:spacing w:after="0" w:line="240" w:lineRule="auto"/>
        <w:rPr>
          <w:rStyle w:val="hps"/>
          <w:rFonts w:ascii="Gill Sans MT" w:eastAsia="Times New Roman" w:hAnsi="Gill Sans MT" w:cstheme="minorHAnsi"/>
          <w:bCs/>
          <w:lang w:val="en-US" w:eastAsia="ar-SA"/>
        </w:rPr>
      </w:pPr>
    </w:p>
    <w:p w14:paraId="4A35EE5E" w14:textId="6D9BC39A" w:rsidR="004A1E96" w:rsidRPr="00960DEF" w:rsidRDefault="004A1E96" w:rsidP="004A1E96">
      <w:pPr>
        <w:rPr>
          <w:b/>
          <w:i/>
        </w:rPr>
      </w:pPr>
      <w:r w:rsidRPr="00F67E5C">
        <w:t>Poziv na dostavu projektnih prijedlog</w:t>
      </w:r>
      <w:r w:rsidR="001D2BAA">
        <w:t>a upućuje se unaprijed određenom prijavitelju</w:t>
      </w:r>
      <w:r>
        <w:t xml:space="preserve">: </w:t>
      </w:r>
      <w:r w:rsidR="001D2BAA">
        <w:rPr>
          <w:b/>
          <w:i/>
        </w:rPr>
        <w:t>Gradu Kninu</w:t>
      </w:r>
    </w:p>
    <w:p w14:paraId="12065EDF" w14:textId="159668C9" w:rsidR="004A1E96" w:rsidRPr="00F67E5C" w:rsidRDefault="004A1E96" w:rsidP="004A1E96">
      <w:r w:rsidRPr="00F67E5C">
        <w:t>Pozvani prijavitelj</w:t>
      </w:r>
      <w:r w:rsidR="00EA05FA">
        <w:t xml:space="preserve"> odabran je</w:t>
      </w:r>
      <w:r>
        <w:t xml:space="preserve"> </w:t>
      </w:r>
      <w:r w:rsidRPr="00F67E5C">
        <w:t xml:space="preserve">na temelju sljedećeg kriterija: </w:t>
      </w:r>
    </w:p>
    <w:p w14:paraId="197258DF" w14:textId="77777777" w:rsidR="004A1E96" w:rsidRPr="00F67E5C" w:rsidRDefault="004A1E96" w:rsidP="004A1E96">
      <w:pPr>
        <w:pStyle w:val="ListParagraph"/>
        <w:numPr>
          <w:ilvl w:val="0"/>
          <w:numId w:val="23"/>
        </w:numPr>
        <w:jc w:val="both"/>
      </w:pPr>
      <w:r w:rsidRPr="00F67E5C">
        <w:t>Odluke Ministarstva regionalnoga razvoja i fondova Europske unije o pilot područjima za provedbu Programa integrirane fizičke, gospodarske i socijalne regeneracije malih gradova na ratom pogođenim područjima od 18.</w:t>
      </w:r>
      <w:r>
        <w:t xml:space="preserve"> </w:t>
      </w:r>
      <w:r w:rsidRPr="00F67E5C">
        <w:t>veljače 2015.</w:t>
      </w:r>
      <w:r>
        <w:t xml:space="preserve"> i/ili</w:t>
      </w:r>
    </w:p>
    <w:p w14:paraId="52C81DE8" w14:textId="53332C95" w:rsidR="004A1E96" w:rsidRPr="00F67E5C" w:rsidRDefault="004A1E96" w:rsidP="004A1E96">
      <w:pPr>
        <w:pStyle w:val="ListParagraph"/>
        <w:numPr>
          <w:ilvl w:val="0"/>
          <w:numId w:val="23"/>
        </w:numPr>
        <w:jc w:val="both"/>
      </w:pPr>
      <w:r>
        <w:t>p</w:t>
      </w:r>
      <w:r w:rsidRPr="00F67E5C">
        <w:t>laniran</w:t>
      </w:r>
      <w:r w:rsidR="00EA05FA">
        <w:t xml:space="preserve"> je</w:t>
      </w:r>
      <w:r>
        <w:t xml:space="preserve"> </w:t>
      </w:r>
      <w:r w:rsidRPr="00F67E5C">
        <w:t xml:space="preserve">kao </w:t>
      </w:r>
      <w:r w:rsidR="00EA05FA">
        <w:t>nositelj projekta te su kao takav</w:t>
      </w:r>
      <w:r w:rsidRPr="00F67E5C">
        <w:t xml:space="preserve"> naveden u Akcijskom planu odobrenog Intervencijskog plana Grada</w:t>
      </w:r>
      <w:r w:rsidR="00EA05FA">
        <w:t xml:space="preserve"> Knina</w:t>
      </w:r>
      <w:r w:rsidRPr="00F67E5C">
        <w:t xml:space="preserve">. </w:t>
      </w:r>
    </w:p>
    <w:p w14:paraId="62301E47" w14:textId="77777777" w:rsidR="004A1E96" w:rsidRDefault="004A1E96" w:rsidP="00536995"/>
    <w:p w14:paraId="6B067131" w14:textId="77777777" w:rsidR="004A1E96" w:rsidRDefault="004A1E96" w:rsidP="00536995"/>
    <w:p w14:paraId="7131581D" w14:textId="77777777" w:rsidR="00536995" w:rsidRPr="00EB32F7" w:rsidRDefault="00536995" w:rsidP="00536995">
      <w:pPr>
        <w:rPr>
          <w:rFonts w:ascii="Gill Sans MT" w:hAnsi="Gill Sans MT"/>
        </w:rPr>
      </w:pPr>
      <w:r w:rsidRPr="00EB32F7">
        <w:rPr>
          <w:rFonts w:ascii="Gill Sans MT" w:hAnsi="Gill Sans MT"/>
        </w:rPr>
        <w:lastRenderedPageBreak/>
        <w:t>Prihvatljivi partneri u smislu ovog Poziva mogu biti:</w:t>
      </w:r>
    </w:p>
    <w:p w14:paraId="0D0E3F5C" w14:textId="77777777" w:rsidR="00142B09" w:rsidRPr="00F67E5C" w:rsidRDefault="00142B09" w:rsidP="00142B09">
      <w:r w:rsidRPr="00F67E5C">
        <w:t>Prihvatljivi partneri u smislu ovog Poziva mogu biti:</w:t>
      </w:r>
    </w:p>
    <w:p w14:paraId="76A15268" w14:textId="78BAB48E" w:rsidR="00142B09" w:rsidRPr="00F555C9" w:rsidRDefault="008E4FC3" w:rsidP="00142B09">
      <w:pPr>
        <w:numPr>
          <w:ilvl w:val="0"/>
          <w:numId w:val="12"/>
        </w:numPr>
        <w:spacing w:before="120" w:after="120" w:line="240" w:lineRule="auto"/>
        <w:ind w:right="85"/>
        <w:contextualSpacing/>
        <w:jc w:val="both"/>
      </w:pPr>
      <w:r w:rsidRPr="008E4FC3">
        <w:t>Jedinice lokalne i regionalne (područne) samouprave osnovane temeljem Zakona o područjima županija, gradova i općina u Republici Hrvatskoj (NN 46/10, 145/10, 37/13, 44/13, 45/13, 110/15)</w:t>
      </w:r>
      <w:r w:rsidR="00142B09" w:rsidRPr="00F555C9">
        <w:rPr>
          <w:rFonts w:eastAsia="Calibri" w:cs="Times New Roman"/>
        </w:rPr>
        <w:t xml:space="preserve"> </w:t>
      </w:r>
    </w:p>
    <w:p w14:paraId="25E36382" w14:textId="1D95106F" w:rsidR="00142B09" w:rsidRPr="00F67E5C" w:rsidRDefault="008E4FC3" w:rsidP="00142B09">
      <w:pPr>
        <w:pStyle w:val="ListParagraph"/>
        <w:numPr>
          <w:ilvl w:val="0"/>
          <w:numId w:val="5"/>
        </w:numPr>
        <w:spacing w:before="120" w:after="120" w:line="240" w:lineRule="auto"/>
        <w:ind w:right="85" w:hanging="357"/>
        <w:contextualSpacing w:val="0"/>
        <w:jc w:val="both"/>
      </w:pPr>
      <w:r w:rsidRPr="008E4FC3">
        <w:t>Ustanove osnovane od strane Republike Hrvatske ili osnovane od jedinice lokalne i regionalne (područne) samouprave, na temelju Zakona o ustanovama (NN 76/93, 29/97, 47/99, 35/08), upisane u</w:t>
      </w:r>
      <w:r w:rsidR="00142B09" w:rsidRPr="00F67E5C">
        <w:rPr>
          <w:rFonts w:eastAsia="Calibri" w:cs="Times New Roman"/>
        </w:rPr>
        <w:t xml:space="preserve"> </w:t>
      </w:r>
      <w:proofErr w:type="spellStart"/>
      <w:r w:rsidR="00142B09" w:rsidRPr="00F67E5C">
        <w:rPr>
          <w:rFonts w:eastAsia="Calibri" w:cs="Times New Roman"/>
        </w:rPr>
        <w:t>u</w:t>
      </w:r>
      <w:proofErr w:type="spellEnd"/>
      <w:r w:rsidR="00142B09" w:rsidRPr="00F67E5C">
        <w:rPr>
          <w:rFonts w:eastAsia="Calibri" w:cs="Times New Roman"/>
        </w:rPr>
        <w:t xml:space="preserve"> Sudski registar</w:t>
      </w:r>
      <w:r w:rsidR="00142B09">
        <w:rPr>
          <w:rStyle w:val="FootnoteReference"/>
          <w:rFonts w:eastAsia="Calibri" w:cs="Times New Roman"/>
        </w:rPr>
        <w:footnoteReference w:id="1"/>
      </w:r>
    </w:p>
    <w:p w14:paraId="1F6D324B" w14:textId="43C28954" w:rsidR="00142B09" w:rsidRPr="00F67E5C" w:rsidRDefault="008E4FC3" w:rsidP="00142B09">
      <w:pPr>
        <w:pStyle w:val="ListParagraph"/>
        <w:numPr>
          <w:ilvl w:val="0"/>
          <w:numId w:val="5"/>
        </w:numPr>
        <w:spacing w:before="120" w:after="120" w:line="240" w:lineRule="auto"/>
        <w:ind w:right="85" w:hanging="357"/>
        <w:contextualSpacing w:val="0"/>
        <w:jc w:val="both"/>
      </w:pPr>
      <w:r w:rsidRPr="008E4FC3">
        <w:t>Trgovačka društva u većinskom javnom vlasništvu, osnovana po Zakonu o trgovačkim društvima (NN 111/93, 34/99, 121/99, 52/00, 118/03, 107/07, 146/08, 137/09, 125/11, 152/11, 111/12, 68/13, 110/15), upisana u Sudski registar</w:t>
      </w:r>
    </w:p>
    <w:p w14:paraId="3B2F2656" w14:textId="36A086DE" w:rsidR="00142B09" w:rsidRDefault="008E4FC3" w:rsidP="00142B09">
      <w:pPr>
        <w:pStyle w:val="ListParagraph"/>
        <w:numPr>
          <w:ilvl w:val="0"/>
          <w:numId w:val="5"/>
        </w:numPr>
        <w:spacing w:before="120" w:after="120" w:line="240" w:lineRule="auto"/>
        <w:ind w:left="714" w:right="85" w:hanging="357"/>
        <w:contextualSpacing w:val="0"/>
        <w:jc w:val="both"/>
      </w:pPr>
      <w:r w:rsidRPr="008E4FC3">
        <w:t>Regionalni koordinatori i lokalne razvojne agencije osnovane na temelju Zakona o regionalnom razvoju (NN 147/14), Zakona o lokalnoj i područnoj (regionalnoj) samoupravi (NN 33/01, 60/01, 129/05, 109/07, 125/08, 36/09, 150/11, 144/12 i 19/13  - pročišćeni tekst, 137/15), Zakona o trgovačkim društvima (NN 111/93, 34/99, 121/99, 52/00, 118/03, 107/07, 146/08, 137/09, 125/11, 152/11, 111/12, 68/13, 110/15),  Zakona o ustanovama (NN 76/93, 29/97, 47/99, 35/08), upisane u Sudski registar</w:t>
      </w:r>
    </w:p>
    <w:p w14:paraId="1ADE88D6" w14:textId="72DBF25E" w:rsidR="00142B09" w:rsidRDefault="008E4FC3" w:rsidP="00142B09">
      <w:pPr>
        <w:pStyle w:val="ListParagraph"/>
        <w:numPr>
          <w:ilvl w:val="0"/>
          <w:numId w:val="5"/>
        </w:numPr>
        <w:spacing w:before="120" w:after="120" w:line="240" w:lineRule="auto"/>
        <w:ind w:left="714" w:right="85" w:hanging="357"/>
        <w:contextualSpacing w:val="0"/>
        <w:jc w:val="both"/>
      </w:pPr>
      <w:r w:rsidRPr="008E4FC3">
        <w:t xml:space="preserve">Turističke zajednice osnovane na temelju Zakona o </w:t>
      </w:r>
      <w:proofErr w:type="spellStart"/>
      <w:r w:rsidRPr="008E4FC3">
        <w:t>turističkim</w:t>
      </w:r>
      <w:proofErr w:type="spellEnd"/>
      <w:r w:rsidRPr="008E4FC3">
        <w:t xml:space="preserve"> zajednicama i promicanju hrvatskog turizma (NN 152/08), upisane u Upisnik turističkih zajednica</w:t>
      </w:r>
    </w:p>
    <w:p w14:paraId="66343A2E" w14:textId="30ABD6CD" w:rsidR="00142B09" w:rsidRPr="00F67E5C" w:rsidRDefault="008E4FC3" w:rsidP="00142B09">
      <w:pPr>
        <w:pStyle w:val="ListParagraph"/>
        <w:numPr>
          <w:ilvl w:val="0"/>
          <w:numId w:val="5"/>
        </w:numPr>
        <w:spacing w:before="120" w:after="120" w:line="240" w:lineRule="auto"/>
        <w:ind w:left="714" w:right="85" w:hanging="357"/>
        <w:contextualSpacing w:val="0"/>
        <w:jc w:val="both"/>
      </w:pPr>
      <w:r w:rsidRPr="008E4FC3">
        <w:t>Udruge osnovane na temelju Zakona o udrugama (NN 74/14) i upisane u Registar udruga Republike</w:t>
      </w:r>
      <w:r w:rsidR="00142B09" w:rsidRPr="00F67E5C">
        <w:t xml:space="preserve"> Hrvatske</w:t>
      </w:r>
      <w:r w:rsidR="00142B09">
        <w:rPr>
          <w:rStyle w:val="FootnoteReference"/>
        </w:rPr>
        <w:footnoteReference w:id="2"/>
      </w:r>
    </w:p>
    <w:p w14:paraId="7CA8D8A4" w14:textId="77777777" w:rsidR="00387851" w:rsidRPr="00EB32F7" w:rsidRDefault="00387851" w:rsidP="00387851">
      <w:pPr>
        <w:tabs>
          <w:tab w:val="center" w:pos="4320"/>
          <w:tab w:val="right" w:pos="8640"/>
        </w:tabs>
        <w:spacing w:after="0" w:line="240" w:lineRule="auto"/>
        <w:rPr>
          <w:rStyle w:val="hps"/>
          <w:rFonts w:ascii="Gill Sans MT" w:eastAsia="Times New Roman" w:hAnsi="Gill Sans MT" w:cstheme="minorHAnsi"/>
          <w:bCs/>
          <w:lang w:val="en-US" w:eastAsia="ar-SA"/>
        </w:rPr>
      </w:pPr>
    </w:p>
    <w:p w14:paraId="748BF4ED" w14:textId="77777777" w:rsidR="00D52FE9" w:rsidRPr="00EB32F7" w:rsidRDefault="00BF18E3" w:rsidP="00D52FE9">
      <w:pPr>
        <w:pStyle w:val="ListParagraph"/>
        <w:numPr>
          <w:ilvl w:val="0"/>
          <w:numId w:val="1"/>
        </w:numPr>
        <w:tabs>
          <w:tab w:val="center" w:pos="4320"/>
          <w:tab w:val="right" w:pos="8640"/>
        </w:tabs>
        <w:spacing w:after="0" w:line="240" w:lineRule="auto"/>
        <w:rPr>
          <w:rStyle w:val="hps"/>
          <w:rFonts w:ascii="Gill Sans MT" w:eastAsia="Times New Roman" w:hAnsi="Gill Sans MT" w:cstheme="minorHAnsi"/>
          <w:b/>
          <w:bCs/>
          <w:color w:val="EF7F24"/>
          <w:lang w:val="en-US" w:eastAsia="ar-SA"/>
        </w:rPr>
      </w:pPr>
      <w:r w:rsidRPr="00EB32F7">
        <w:rPr>
          <w:rStyle w:val="hps"/>
          <w:rFonts w:ascii="Gill Sans MT" w:hAnsi="Gill Sans MT" w:cstheme="minorHAnsi"/>
          <w:b/>
          <w:color w:val="EF7F24"/>
        </w:rPr>
        <w:t>Prihvatljive aktivnosti</w:t>
      </w:r>
    </w:p>
    <w:p w14:paraId="384010EC" w14:textId="77777777" w:rsidR="00387851" w:rsidRPr="00EB32F7" w:rsidRDefault="00387851" w:rsidP="00387851">
      <w:pPr>
        <w:spacing w:after="0" w:line="240" w:lineRule="auto"/>
        <w:ind w:left="119" w:right="106"/>
        <w:jc w:val="both"/>
        <w:rPr>
          <w:rFonts w:ascii="Gill Sans MT" w:eastAsia="Times New Roman" w:hAnsi="Gill Sans MT" w:cstheme="minorHAnsi"/>
          <w:szCs w:val="32"/>
          <w:lang w:eastAsia="en-US"/>
        </w:rPr>
      </w:pPr>
    </w:p>
    <w:p w14:paraId="504F1062" w14:textId="77777777" w:rsidR="008E4FC3" w:rsidRDefault="008E4FC3" w:rsidP="008E4FC3">
      <w:pPr>
        <w:numPr>
          <w:ilvl w:val="0"/>
          <w:numId w:val="21"/>
        </w:numPr>
        <w:spacing w:after="0" w:line="240" w:lineRule="auto"/>
        <w:ind w:right="178"/>
        <w:contextualSpacing/>
        <w:jc w:val="both"/>
        <w:rPr>
          <w:noProof/>
        </w:rPr>
      </w:pPr>
      <w:r>
        <w:rPr>
          <w:noProof/>
        </w:rPr>
        <w:t xml:space="preserve">Prihvatljive aktivnosti koje se mogu financirati u okviru ovog Poziva su sve aktivnosti predviđene Intervencijskim planom Grada Knina: </w:t>
      </w:r>
    </w:p>
    <w:p w14:paraId="04346EB9" w14:textId="77777777" w:rsidR="008E4FC3" w:rsidRDefault="008E4FC3" w:rsidP="008E4FC3">
      <w:pPr>
        <w:numPr>
          <w:ilvl w:val="0"/>
          <w:numId w:val="21"/>
        </w:numPr>
        <w:spacing w:after="0" w:line="240" w:lineRule="auto"/>
        <w:ind w:right="178"/>
        <w:contextualSpacing/>
        <w:jc w:val="both"/>
        <w:rPr>
          <w:noProof/>
        </w:rPr>
      </w:pPr>
      <w:r>
        <w:rPr>
          <w:noProof/>
        </w:rPr>
        <w:t>Gradnja nove građevine; adaptacija, rekonstrukcija, uklanjanje postojeće građevine;  uređenje i opremanje građevina sljedećih vrsta javne infrastrukture na području grada Knina i to za sve navedene kategorije kako slijedi:</w:t>
      </w:r>
    </w:p>
    <w:p w14:paraId="6A8870FE" w14:textId="77777777" w:rsidR="008E4FC3" w:rsidRDefault="008E4FC3" w:rsidP="008E4FC3">
      <w:pPr>
        <w:numPr>
          <w:ilvl w:val="0"/>
          <w:numId w:val="21"/>
        </w:numPr>
        <w:spacing w:after="0" w:line="240" w:lineRule="auto"/>
        <w:ind w:right="178"/>
        <w:contextualSpacing/>
        <w:jc w:val="both"/>
        <w:rPr>
          <w:noProof/>
        </w:rPr>
      </w:pPr>
      <w:r>
        <w:rPr>
          <w:noProof/>
        </w:rPr>
        <w:t>društvene infrastrukture na otvorenom i zatvorenom namijenjene boravku i rehabilitaciji djece, predškolskom odgoju i obrazovanju (dječji vrtići), kulturnim događanjima i javnim okupljanjima te djelovanju udruga civilnog društva i drugim javnim sadržajima</w:t>
      </w:r>
    </w:p>
    <w:p w14:paraId="0F63AC8C" w14:textId="77777777" w:rsidR="008E4FC3" w:rsidRDefault="008E4FC3" w:rsidP="008E4FC3">
      <w:pPr>
        <w:numPr>
          <w:ilvl w:val="0"/>
          <w:numId w:val="21"/>
        </w:numPr>
        <w:spacing w:after="0" w:line="240" w:lineRule="auto"/>
        <w:ind w:right="178"/>
        <w:contextualSpacing/>
        <w:jc w:val="both"/>
        <w:rPr>
          <w:noProof/>
        </w:rPr>
      </w:pPr>
      <w:r>
        <w:rPr>
          <w:noProof/>
        </w:rPr>
        <w:t>obrazovne infrastrukture, uključujući osnovne i srednje škole, umjetničke škole, te učeničke domove</w:t>
      </w:r>
    </w:p>
    <w:p w14:paraId="7DDF3C64" w14:textId="77777777" w:rsidR="008E4FC3" w:rsidRDefault="008E4FC3" w:rsidP="008E4FC3">
      <w:pPr>
        <w:numPr>
          <w:ilvl w:val="0"/>
          <w:numId w:val="21"/>
        </w:numPr>
        <w:spacing w:after="0" w:line="240" w:lineRule="auto"/>
        <w:ind w:right="178"/>
        <w:contextualSpacing/>
        <w:jc w:val="both"/>
        <w:rPr>
          <w:noProof/>
        </w:rPr>
      </w:pPr>
      <w:r>
        <w:rPr>
          <w:noProof/>
        </w:rPr>
        <w:t>poslovne infrastrukture, uključujući skladišne prostore, poslovne prostorije, prostore za obavljanje funkcija poduzetničkih potpornih institucija, poslovne zone, prostore za socijalno poduzetništvo i poticanje socijalnog poduzetništva, instrastrukturu namijenjenu istraživanju i razvoju te obrazovanju malih i srednjih poduzetnika, kao i poljoprivrednika te druge oblike poslovne infrastrukture uključujući infrastrukturu za dristibuciju lokalnih proizvoda</w:t>
      </w:r>
    </w:p>
    <w:p w14:paraId="781CB7BE" w14:textId="77777777" w:rsidR="008E4FC3" w:rsidRDefault="008E4FC3" w:rsidP="008E4FC3">
      <w:pPr>
        <w:numPr>
          <w:ilvl w:val="0"/>
          <w:numId w:val="21"/>
        </w:numPr>
        <w:spacing w:after="0" w:line="240" w:lineRule="auto"/>
        <w:ind w:right="178"/>
        <w:contextualSpacing/>
        <w:jc w:val="both"/>
        <w:rPr>
          <w:noProof/>
        </w:rPr>
      </w:pPr>
      <w:r>
        <w:rPr>
          <w:noProof/>
        </w:rPr>
        <w:t>sportsko-rekreativne infrastrukture otvorenog i zatvorenog tipa</w:t>
      </w:r>
    </w:p>
    <w:p w14:paraId="00C1F820" w14:textId="77777777" w:rsidR="008E4FC3" w:rsidRDefault="008E4FC3" w:rsidP="008E4FC3">
      <w:pPr>
        <w:numPr>
          <w:ilvl w:val="0"/>
          <w:numId w:val="21"/>
        </w:numPr>
        <w:spacing w:after="0" w:line="240" w:lineRule="auto"/>
        <w:ind w:right="178"/>
        <w:contextualSpacing/>
        <w:jc w:val="both"/>
        <w:rPr>
          <w:noProof/>
        </w:rPr>
      </w:pPr>
      <w:r>
        <w:rPr>
          <w:noProof/>
        </w:rPr>
        <w:lastRenderedPageBreak/>
        <w:t>infrastrukture namijenjene sadržajima u kulturi i kulturne baštine</w:t>
      </w:r>
    </w:p>
    <w:p w14:paraId="2C58A018" w14:textId="77777777" w:rsidR="008E4FC3" w:rsidRDefault="008E4FC3" w:rsidP="008E4FC3">
      <w:pPr>
        <w:numPr>
          <w:ilvl w:val="0"/>
          <w:numId w:val="21"/>
        </w:numPr>
        <w:spacing w:after="0" w:line="240" w:lineRule="auto"/>
        <w:ind w:right="178"/>
        <w:contextualSpacing/>
        <w:jc w:val="both"/>
        <w:rPr>
          <w:noProof/>
        </w:rPr>
      </w:pPr>
      <w:r>
        <w:rPr>
          <w:noProof/>
        </w:rPr>
        <w:t>infrastruktura namijenjena sadržajima prirodne baštine</w:t>
      </w:r>
    </w:p>
    <w:p w14:paraId="5F028299" w14:textId="77777777" w:rsidR="008E4FC3" w:rsidRDefault="008E4FC3" w:rsidP="008E4FC3">
      <w:pPr>
        <w:numPr>
          <w:ilvl w:val="0"/>
          <w:numId w:val="21"/>
        </w:numPr>
        <w:spacing w:after="0" w:line="240" w:lineRule="auto"/>
        <w:ind w:right="178"/>
        <w:contextualSpacing/>
        <w:jc w:val="both"/>
        <w:rPr>
          <w:noProof/>
        </w:rPr>
      </w:pPr>
      <w:r>
        <w:rPr>
          <w:noProof/>
        </w:rPr>
        <w:t>javne prometne infrastrukture uključujući: lokalne i županijske ceste, nerazvrstane ceste, prilazne ceste za druge oblike javne infrastrukture, biciklističke staze, prijelaze i parkirališta za bicikle, uređenje javnih parkirnih površina, autobusnih stajališta, pješačke prijelaze, mostove, staze i pothodnike i sl.</w:t>
      </w:r>
    </w:p>
    <w:p w14:paraId="7E5910AA" w14:textId="77777777" w:rsidR="008E4FC3" w:rsidRDefault="008E4FC3" w:rsidP="008E4FC3">
      <w:pPr>
        <w:numPr>
          <w:ilvl w:val="0"/>
          <w:numId w:val="21"/>
        </w:numPr>
        <w:spacing w:after="0" w:line="240" w:lineRule="auto"/>
        <w:ind w:right="178"/>
        <w:contextualSpacing/>
        <w:jc w:val="both"/>
        <w:rPr>
          <w:noProof/>
        </w:rPr>
      </w:pPr>
      <w:r>
        <w:rPr>
          <w:noProof/>
        </w:rPr>
        <w:t>drugih javnih prostora na kojima se građani okupljaju, zadržavaju i borave, a koje su od značaja za atraktivnost naselja za život , uključujući gradske trgove i ulice, pješačke mostove, kupališta, šetališa, perivoje</w:t>
      </w:r>
    </w:p>
    <w:p w14:paraId="39E153A0" w14:textId="77777777" w:rsidR="008E4FC3" w:rsidRDefault="008E4FC3" w:rsidP="008E4FC3">
      <w:pPr>
        <w:numPr>
          <w:ilvl w:val="0"/>
          <w:numId w:val="21"/>
        </w:numPr>
        <w:spacing w:after="0" w:line="240" w:lineRule="auto"/>
        <w:ind w:right="178"/>
        <w:contextualSpacing/>
        <w:jc w:val="both"/>
        <w:rPr>
          <w:noProof/>
        </w:rPr>
      </w:pPr>
      <w:r>
        <w:rPr>
          <w:noProof/>
        </w:rPr>
        <w:t>popratnu infrastrukturu tehničkog ili administrativnog tipa nužnu za održavanje i funkcioniranje gore navedenih tipova javne infrastrutkure</w:t>
      </w:r>
    </w:p>
    <w:p w14:paraId="1452035C" w14:textId="77777777" w:rsidR="008E4FC3" w:rsidRDefault="008E4FC3" w:rsidP="008E4FC3">
      <w:pPr>
        <w:numPr>
          <w:ilvl w:val="0"/>
          <w:numId w:val="21"/>
        </w:numPr>
        <w:spacing w:after="0" w:line="240" w:lineRule="auto"/>
        <w:ind w:right="178"/>
        <w:contextualSpacing/>
        <w:jc w:val="both"/>
        <w:rPr>
          <w:noProof/>
        </w:rPr>
      </w:pPr>
      <w:r>
        <w:rPr>
          <w:noProof/>
        </w:rPr>
        <w:t>turističke infrastrukture u funkciji valorizacije grada Knina</w:t>
      </w:r>
    </w:p>
    <w:p w14:paraId="295798EB" w14:textId="77777777" w:rsidR="008E4FC3" w:rsidRDefault="008E4FC3" w:rsidP="008E4FC3">
      <w:pPr>
        <w:numPr>
          <w:ilvl w:val="0"/>
          <w:numId w:val="21"/>
        </w:numPr>
        <w:spacing w:after="0" w:line="240" w:lineRule="auto"/>
        <w:ind w:right="178"/>
        <w:contextualSpacing/>
        <w:jc w:val="both"/>
        <w:rPr>
          <w:noProof/>
        </w:rPr>
      </w:pPr>
      <w:r>
        <w:rPr>
          <w:noProof/>
        </w:rPr>
        <w:t xml:space="preserve">druge oblike infrastrukture u skladu s Intervencijskim planom Grada Knina </w:t>
      </w:r>
    </w:p>
    <w:p w14:paraId="20924790" w14:textId="77777777" w:rsidR="008E4FC3" w:rsidRDefault="008E4FC3" w:rsidP="008E4FC3">
      <w:pPr>
        <w:numPr>
          <w:ilvl w:val="0"/>
          <w:numId w:val="21"/>
        </w:numPr>
        <w:spacing w:after="0" w:line="240" w:lineRule="auto"/>
        <w:ind w:right="178"/>
        <w:contextualSpacing/>
        <w:jc w:val="both"/>
        <w:rPr>
          <w:noProof/>
        </w:rPr>
      </w:pPr>
      <w:r>
        <w:rPr>
          <w:noProof/>
        </w:rPr>
        <w:t>Kupnja nekretnina (uključujući i pripadajuće izgrađeno zemljište) i zemljišta za potrebe projekata planiranih IP-om Grada Knina ali pod uvjetima iz Pravilnika o prihvatljivosti izdataka (NN 143/14)Dodatni sadržaji koji doprinose atraktivnosti i očuvanju kulturne i prirodne baštine</w:t>
      </w:r>
    </w:p>
    <w:p w14:paraId="26D03123" w14:textId="77777777" w:rsidR="008E4FC3" w:rsidRDefault="008E4FC3" w:rsidP="008E4FC3">
      <w:pPr>
        <w:numPr>
          <w:ilvl w:val="0"/>
          <w:numId w:val="21"/>
        </w:numPr>
        <w:spacing w:after="0" w:line="240" w:lineRule="auto"/>
        <w:ind w:right="178"/>
        <w:contextualSpacing/>
        <w:jc w:val="both"/>
        <w:rPr>
          <w:noProof/>
        </w:rPr>
      </w:pPr>
      <w:r>
        <w:rPr>
          <w:noProof/>
        </w:rPr>
        <w:t>Priprema projektne i tehničke dokumentacije npr. idejno rješenje, idejni projekt, glavni projekt, izvedbeni projekt, projekt opreme, projekt uklanjanja; geodetski i geotehnički elaborati, parcelacijski elaborat, konzervatorski elaborat, revizija građevinskih projekata, troškovnik radova i opreme, studija izvedivosti i analiza troškova i koristi, izrada elaborata i/ili studija utjecaja zahvata na okoliš, prethodne i/ili glavne ocjene prihvatljivosti, odnosno zahtjeva za ocjenu o potrebi procjene utjecaja na okoliš/prirodu, geomehanička, građevinska, konstruktivna istraživanja, arhitektonski/građevinski snimak stanja, izrada dokumentacije za javnu nabavu radova, robe i usluga, dokumentacija potrebna za radove na održavanju, projektna prijava, izrada energetskog pregleda i energetskog certifikata, stručna revizija i/ili nadopuna projekta, razrada investicijskog ciklusa, izrada strategija, planova, analize strategija, planova urbane regeneracije, poslovnih planova, istraživanja tržišta, marketing/komunikacijskih planova i projektnu prijavu za potrebe provedbe projekata planiranih IP-om Grada Knina.)</w:t>
      </w:r>
    </w:p>
    <w:p w14:paraId="1BF9CCAE" w14:textId="77777777" w:rsidR="008E4FC3" w:rsidRDefault="008E4FC3" w:rsidP="008E4FC3">
      <w:pPr>
        <w:numPr>
          <w:ilvl w:val="0"/>
          <w:numId w:val="21"/>
        </w:numPr>
        <w:spacing w:after="0" w:line="240" w:lineRule="auto"/>
        <w:ind w:right="178"/>
        <w:contextualSpacing/>
        <w:jc w:val="both"/>
        <w:rPr>
          <w:noProof/>
        </w:rPr>
      </w:pPr>
      <w:r>
        <w:rPr>
          <w:noProof/>
        </w:rPr>
        <w:t>Voditelj projekta ( u skladu sa čl. 38 Zakona o poslovima i djelatnostima prostornog uređenje i gradnje NN 78/15</w:t>
      </w:r>
    </w:p>
    <w:p w14:paraId="592DF531" w14:textId="4B645D90" w:rsidR="008E4FC3" w:rsidRDefault="008E4FC3" w:rsidP="008E4FC3">
      <w:pPr>
        <w:numPr>
          <w:ilvl w:val="0"/>
          <w:numId w:val="21"/>
        </w:numPr>
        <w:spacing w:after="0" w:line="240" w:lineRule="auto"/>
        <w:ind w:right="178"/>
        <w:contextualSpacing/>
        <w:jc w:val="both"/>
        <w:rPr>
          <w:noProof/>
        </w:rPr>
      </w:pPr>
      <w:r>
        <w:rPr>
          <w:noProof/>
        </w:rPr>
        <w:t>Reguliranje doprinosa neophodnih za dobivanje svih potrebnih suglasnosti/odobrenja povezanih uz ishođenje građevne dozvole (ili druge dozvole vezano uz izvođenje radova) ili priključenje na komunalnu infrastrukturu i sl.</w:t>
      </w:r>
    </w:p>
    <w:p w14:paraId="53244BAA" w14:textId="77777777" w:rsidR="008E4FC3" w:rsidRDefault="008E4FC3" w:rsidP="008E4FC3">
      <w:pPr>
        <w:numPr>
          <w:ilvl w:val="0"/>
          <w:numId w:val="21"/>
        </w:numPr>
        <w:spacing w:after="0" w:line="240" w:lineRule="auto"/>
        <w:ind w:right="178"/>
        <w:contextualSpacing/>
        <w:jc w:val="both"/>
        <w:rPr>
          <w:noProof/>
        </w:rPr>
      </w:pPr>
      <w:r>
        <w:rPr>
          <w:noProof/>
        </w:rPr>
        <w:t>Priključci, radovi na priključcima i doprinosi     vezani    uz stavljanje infrastrukture u funkciju</w:t>
      </w:r>
    </w:p>
    <w:p w14:paraId="3277A40E" w14:textId="77777777" w:rsidR="008E4FC3" w:rsidRDefault="008E4FC3" w:rsidP="008E4FC3">
      <w:pPr>
        <w:numPr>
          <w:ilvl w:val="0"/>
          <w:numId w:val="21"/>
        </w:numPr>
        <w:spacing w:after="0" w:line="240" w:lineRule="auto"/>
        <w:ind w:right="178"/>
        <w:contextualSpacing/>
        <w:jc w:val="both"/>
        <w:rPr>
          <w:noProof/>
        </w:rPr>
      </w:pPr>
      <w:r>
        <w:rPr>
          <w:noProof/>
        </w:rPr>
        <w:t>Stručni nadzor građenja</w:t>
      </w:r>
    </w:p>
    <w:p w14:paraId="32DD8B1F" w14:textId="77777777" w:rsidR="008E4FC3" w:rsidRDefault="008E4FC3" w:rsidP="008E4FC3">
      <w:pPr>
        <w:numPr>
          <w:ilvl w:val="0"/>
          <w:numId w:val="21"/>
        </w:numPr>
        <w:spacing w:after="0" w:line="240" w:lineRule="auto"/>
        <w:ind w:right="178"/>
        <w:contextualSpacing/>
        <w:jc w:val="both"/>
        <w:rPr>
          <w:noProof/>
        </w:rPr>
      </w:pPr>
      <w:r>
        <w:rPr>
          <w:noProof/>
        </w:rPr>
        <w:t xml:space="preserve">Projektantski nadzor  </w:t>
      </w:r>
    </w:p>
    <w:p w14:paraId="782EFC86" w14:textId="77777777" w:rsidR="008E4FC3" w:rsidRDefault="008E4FC3" w:rsidP="008E4FC3">
      <w:pPr>
        <w:numPr>
          <w:ilvl w:val="0"/>
          <w:numId w:val="21"/>
        </w:numPr>
        <w:spacing w:after="0" w:line="240" w:lineRule="auto"/>
        <w:ind w:right="178"/>
        <w:contextualSpacing/>
        <w:jc w:val="both"/>
        <w:rPr>
          <w:noProof/>
        </w:rPr>
      </w:pPr>
      <w:r>
        <w:rPr>
          <w:noProof/>
        </w:rPr>
        <w:t>Konzervatorska, restauratorska, arheološka i ostala srodna istraživanja te povezani stručni nadzor</w:t>
      </w:r>
    </w:p>
    <w:p w14:paraId="3D9A9FD5" w14:textId="77777777" w:rsidR="008E4FC3" w:rsidRDefault="008E4FC3" w:rsidP="008E4FC3">
      <w:pPr>
        <w:numPr>
          <w:ilvl w:val="0"/>
          <w:numId w:val="21"/>
        </w:numPr>
        <w:spacing w:after="0" w:line="240" w:lineRule="auto"/>
        <w:ind w:right="178"/>
        <w:contextualSpacing/>
        <w:jc w:val="both"/>
        <w:rPr>
          <w:noProof/>
        </w:rPr>
      </w:pPr>
      <w:r>
        <w:rPr>
          <w:noProof/>
        </w:rPr>
        <w:t xml:space="preserve">Zaštita na radu u fazi izvođenja radova – Koordinator II </w:t>
      </w:r>
    </w:p>
    <w:p w14:paraId="6FF291A8" w14:textId="77777777" w:rsidR="008E4FC3" w:rsidRDefault="008E4FC3" w:rsidP="008E4FC3">
      <w:pPr>
        <w:numPr>
          <w:ilvl w:val="0"/>
          <w:numId w:val="21"/>
        </w:numPr>
        <w:spacing w:after="0" w:line="240" w:lineRule="auto"/>
        <w:ind w:right="178"/>
        <w:contextualSpacing/>
        <w:jc w:val="both"/>
        <w:rPr>
          <w:noProof/>
        </w:rPr>
      </w:pPr>
      <w:r>
        <w:rPr>
          <w:noProof/>
        </w:rPr>
        <w:t>Edukacija i razvoj kapaciteta ciljanih skupina projekta</w:t>
      </w:r>
    </w:p>
    <w:p w14:paraId="47CACDB8" w14:textId="77777777" w:rsidR="008E4FC3" w:rsidRDefault="008E4FC3" w:rsidP="008E4FC3">
      <w:pPr>
        <w:numPr>
          <w:ilvl w:val="0"/>
          <w:numId w:val="21"/>
        </w:numPr>
        <w:spacing w:after="0" w:line="240" w:lineRule="auto"/>
        <w:ind w:right="178"/>
        <w:contextualSpacing/>
        <w:jc w:val="both"/>
        <w:rPr>
          <w:noProof/>
        </w:rPr>
      </w:pPr>
      <w:r>
        <w:rPr>
          <w:noProof/>
        </w:rPr>
        <w:t>Popratne promotivne aktivnosti s ciljem podizanja vidjljivosti projektnih aktivnosti i EU financiranja te diseminacije rezultata</w:t>
      </w:r>
    </w:p>
    <w:p w14:paraId="112FDF11" w14:textId="4A42F711" w:rsidR="00EA05FA" w:rsidRPr="00EA05FA" w:rsidRDefault="008E4FC3" w:rsidP="008E4FC3">
      <w:pPr>
        <w:numPr>
          <w:ilvl w:val="0"/>
          <w:numId w:val="21"/>
        </w:numPr>
        <w:spacing w:after="0" w:line="240" w:lineRule="auto"/>
        <w:ind w:right="178"/>
        <w:contextualSpacing/>
        <w:jc w:val="both"/>
        <w:rPr>
          <w:noProof/>
        </w:rPr>
      </w:pPr>
      <w:r>
        <w:rPr>
          <w:noProof/>
        </w:rPr>
        <w:lastRenderedPageBreak/>
        <w:t>Aktivnosti za promicanje horizontalnih načela Europske unije</w:t>
      </w:r>
    </w:p>
    <w:p w14:paraId="748D4FB0" w14:textId="77777777" w:rsidR="00EA05FA" w:rsidRPr="00EA05FA" w:rsidRDefault="00EA05FA" w:rsidP="00EA05FA">
      <w:pPr>
        <w:numPr>
          <w:ilvl w:val="0"/>
          <w:numId w:val="21"/>
        </w:numPr>
        <w:spacing w:after="0" w:line="240" w:lineRule="auto"/>
        <w:ind w:right="178"/>
        <w:contextualSpacing/>
        <w:jc w:val="both"/>
        <w:rPr>
          <w:noProof/>
        </w:rPr>
      </w:pPr>
      <w:r w:rsidRPr="00EA05FA">
        <w:rPr>
          <w:noProof/>
        </w:rPr>
        <w:t>Financijska revizija ugovora o dodjeli bespovratnih sredstava</w:t>
      </w:r>
      <w:r w:rsidRPr="00EA05FA">
        <w:rPr>
          <w:noProof/>
          <w:vertAlign w:val="superscript"/>
        </w:rPr>
        <w:footnoteReference w:id="3"/>
      </w:r>
    </w:p>
    <w:p w14:paraId="34F99496" w14:textId="6C36FBD6" w:rsidR="004A1E96" w:rsidRDefault="00EA05FA" w:rsidP="008E4FC3">
      <w:pPr>
        <w:pStyle w:val="ListParagraph"/>
        <w:numPr>
          <w:ilvl w:val="0"/>
          <w:numId w:val="21"/>
        </w:numPr>
        <w:spacing w:after="0" w:line="240" w:lineRule="auto"/>
        <w:ind w:right="178"/>
        <w:jc w:val="both"/>
      </w:pPr>
      <w:r w:rsidRPr="00EA05FA">
        <w:rPr>
          <w:noProof/>
        </w:rPr>
        <w:t>Aktivnosti upravljanja projektom</w:t>
      </w:r>
    </w:p>
    <w:p w14:paraId="65C60C1E" w14:textId="77777777" w:rsidR="004A1E96" w:rsidRPr="00EB32F7" w:rsidRDefault="004A1E96" w:rsidP="001C14DE">
      <w:pPr>
        <w:spacing w:after="0" w:line="240" w:lineRule="auto"/>
        <w:ind w:right="178"/>
        <w:contextualSpacing/>
        <w:jc w:val="both"/>
        <w:rPr>
          <w:rFonts w:ascii="Gill Sans MT" w:eastAsia="Times New Roman" w:hAnsi="Gill Sans MT" w:cstheme="minorHAnsi"/>
          <w:color w:val="EF7F24"/>
          <w:szCs w:val="32"/>
          <w:lang w:eastAsia="en-US"/>
        </w:rPr>
      </w:pPr>
    </w:p>
    <w:p w14:paraId="79CBBBA1" w14:textId="77777777" w:rsidR="00D52FE9" w:rsidRPr="00EB32F7" w:rsidRDefault="00BF18E3" w:rsidP="00D52FE9">
      <w:pPr>
        <w:pStyle w:val="ListParagraph"/>
        <w:numPr>
          <w:ilvl w:val="0"/>
          <w:numId w:val="1"/>
        </w:numPr>
        <w:tabs>
          <w:tab w:val="center" w:pos="4320"/>
          <w:tab w:val="right" w:pos="8640"/>
        </w:tabs>
        <w:spacing w:after="0" w:line="240" w:lineRule="auto"/>
        <w:rPr>
          <w:rFonts w:ascii="Gill Sans MT" w:eastAsia="Times New Roman" w:hAnsi="Gill Sans MT" w:cstheme="minorHAnsi"/>
          <w:b/>
          <w:bCs/>
          <w:color w:val="EF7F24"/>
          <w:lang w:val="en-US" w:eastAsia="ar-SA"/>
        </w:rPr>
      </w:pPr>
      <w:r w:rsidRPr="00EB32F7">
        <w:rPr>
          <w:rStyle w:val="hps"/>
          <w:rFonts w:ascii="Gill Sans MT" w:hAnsi="Gill Sans MT" w:cstheme="minorHAnsi"/>
          <w:b/>
          <w:color w:val="EF7F24"/>
        </w:rPr>
        <w:t>Geografsk</w:t>
      </w:r>
      <w:r w:rsidR="000524BE" w:rsidRPr="00EB32F7">
        <w:rPr>
          <w:rStyle w:val="hps"/>
          <w:rFonts w:ascii="Gill Sans MT" w:hAnsi="Gill Sans MT" w:cstheme="minorHAnsi"/>
          <w:b/>
          <w:color w:val="EF7F24"/>
        </w:rPr>
        <w:t>a</w:t>
      </w:r>
      <w:r w:rsidRPr="00EB32F7">
        <w:rPr>
          <w:rFonts w:ascii="Gill Sans MT" w:hAnsi="Gill Sans MT" w:cstheme="minorHAnsi"/>
          <w:b/>
          <w:color w:val="EF7F24"/>
        </w:rPr>
        <w:t xml:space="preserve"> </w:t>
      </w:r>
      <w:r w:rsidRPr="00EB32F7">
        <w:rPr>
          <w:rStyle w:val="hps"/>
          <w:rFonts w:ascii="Gill Sans MT" w:hAnsi="Gill Sans MT" w:cstheme="minorHAnsi"/>
          <w:b/>
          <w:color w:val="EF7F24"/>
        </w:rPr>
        <w:t>ograničenja</w:t>
      </w:r>
      <w:r w:rsidRPr="00EB32F7">
        <w:rPr>
          <w:rFonts w:ascii="Gill Sans MT" w:hAnsi="Gill Sans MT" w:cstheme="minorHAnsi"/>
          <w:b/>
          <w:color w:val="EF7F24"/>
        </w:rPr>
        <w:t xml:space="preserve"> </w:t>
      </w:r>
    </w:p>
    <w:p w14:paraId="17E9FC70" w14:textId="77777777" w:rsidR="00FE20D5" w:rsidRPr="00EB32F7" w:rsidRDefault="00FE20D5" w:rsidP="00FE20D5">
      <w:pPr>
        <w:pStyle w:val="ListParagraph"/>
        <w:tabs>
          <w:tab w:val="center" w:pos="4320"/>
          <w:tab w:val="right" w:pos="8640"/>
        </w:tabs>
        <w:spacing w:after="0" w:line="240" w:lineRule="auto"/>
        <w:rPr>
          <w:rFonts w:ascii="Gill Sans MT" w:hAnsi="Gill Sans MT" w:cstheme="minorHAnsi"/>
        </w:rPr>
      </w:pPr>
    </w:p>
    <w:p w14:paraId="06860C5D" w14:textId="1DBDDA37" w:rsidR="00FE20D5" w:rsidRPr="00EB32F7" w:rsidRDefault="000579FD" w:rsidP="00B87B2E">
      <w:pPr>
        <w:pStyle w:val="ListParagraph"/>
        <w:tabs>
          <w:tab w:val="center" w:pos="4320"/>
          <w:tab w:val="right" w:pos="8640"/>
        </w:tabs>
        <w:spacing w:after="0" w:line="360" w:lineRule="auto"/>
        <w:ind w:left="0"/>
        <w:jc w:val="both"/>
        <w:rPr>
          <w:rFonts w:ascii="Gill Sans MT" w:eastAsia="Times New Roman" w:hAnsi="Gill Sans MT" w:cstheme="minorHAnsi"/>
          <w:szCs w:val="32"/>
          <w:lang w:eastAsia="en-US"/>
        </w:rPr>
      </w:pPr>
      <w:r w:rsidRPr="00EB32F7">
        <w:rPr>
          <w:rFonts w:ascii="Gill Sans MT" w:hAnsi="Gill Sans MT" w:cstheme="minorHAnsi"/>
        </w:rPr>
        <w:t>Provođenje projektnih aktivnosti nije geografski ograničeno, ali projektne aktivnosti moraju biti vezane uz odobren</w:t>
      </w:r>
      <w:r w:rsidR="00E15641" w:rsidRPr="00EB32F7">
        <w:rPr>
          <w:rFonts w:ascii="Gill Sans MT" w:hAnsi="Gill Sans MT" w:cstheme="minorHAnsi"/>
        </w:rPr>
        <w:t>i</w:t>
      </w:r>
      <w:r w:rsidR="00536995" w:rsidRPr="00EB32F7">
        <w:rPr>
          <w:rFonts w:ascii="Gill Sans MT" w:hAnsi="Gill Sans MT" w:cstheme="minorHAnsi"/>
        </w:rPr>
        <w:t xml:space="preserve"> I</w:t>
      </w:r>
      <w:r w:rsidRPr="00EB32F7">
        <w:rPr>
          <w:rFonts w:ascii="Gill Sans MT" w:hAnsi="Gill Sans MT" w:cstheme="minorHAnsi"/>
        </w:rPr>
        <w:t>ntervencijsk</w:t>
      </w:r>
      <w:r w:rsidR="00E15641" w:rsidRPr="00EB32F7">
        <w:rPr>
          <w:rFonts w:ascii="Gill Sans MT" w:hAnsi="Gill Sans MT" w:cstheme="minorHAnsi"/>
        </w:rPr>
        <w:t>i</w:t>
      </w:r>
      <w:r w:rsidR="00F3580D" w:rsidRPr="00EB32F7">
        <w:rPr>
          <w:rFonts w:ascii="Gill Sans MT" w:hAnsi="Gill Sans MT" w:cstheme="minorHAnsi"/>
        </w:rPr>
        <w:t xml:space="preserve"> plan </w:t>
      </w:r>
      <w:r w:rsidR="00F3580D" w:rsidRPr="00EB32F7">
        <w:rPr>
          <w:rFonts w:ascii="Gill Sans MT" w:hAnsi="Gill Sans MT"/>
          <w:noProof/>
        </w:rPr>
        <w:t>Grada</w:t>
      </w:r>
      <w:r w:rsidR="005E3962">
        <w:rPr>
          <w:rFonts w:ascii="Gill Sans MT" w:hAnsi="Gill Sans MT"/>
          <w:noProof/>
        </w:rPr>
        <w:t xml:space="preserve"> Knina</w:t>
      </w:r>
      <w:r w:rsidRPr="00EB32F7">
        <w:rPr>
          <w:rFonts w:ascii="Gill Sans MT" w:hAnsi="Gill Sans MT" w:cstheme="minorHAnsi"/>
        </w:rPr>
        <w:t>.</w:t>
      </w:r>
    </w:p>
    <w:p w14:paraId="5F94FDB0" w14:textId="77777777" w:rsidR="00FE20D5" w:rsidRPr="00EB32F7" w:rsidRDefault="00FE20D5" w:rsidP="00FE20D5">
      <w:pPr>
        <w:pStyle w:val="ListParagraph"/>
        <w:tabs>
          <w:tab w:val="center" w:pos="4320"/>
          <w:tab w:val="right" w:pos="8640"/>
        </w:tabs>
        <w:spacing w:after="0" w:line="240" w:lineRule="auto"/>
        <w:ind w:left="0"/>
        <w:rPr>
          <w:rFonts w:ascii="Gill Sans MT" w:eastAsia="Times New Roman" w:hAnsi="Gill Sans MT" w:cstheme="minorHAnsi"/>
          <w:bCs/>
          <w:lang w:eastAsia="ar-SA"/>
        </w:rPr>
      </w:pPr>
    </w:p>
    <w:p w14:paraId="71D521BA" w14:textId="77777777" w:rsidR="003521EE" w:rsidRPr="00EB32F7" w:rsidRDefault="00B9154C" w:rsidP="00D52FE9">
      <w:pPr>
        <w:pStyle w:val="ListParagraph"/>
        <w:numPr>
          <w:ilvl w:val="0"/>
          <w:numId w:val="1"/>
        </w:numPr>
        <w:tabs>
          <w:tab w:val="center" w:pos="4320"/>
          <w:tab w:val="right" w:pos="8640"/>
        </w:tabs>
        <w:spacing w:after="0" w:line="240" w:lineRule="auto"/>
        <w:rPr>
          <w:rFonts w:ascii="Gill Sans MT" w:eastAsia="Times New Roman" w:hAnsi="Gill Sans MT" w:cstheme="minorHAnsi"/>
          <w:b/>
          <w:bCs/>
          <w:color w:val="EF7F24"/>
          <w:lang w:val="en-US" w:eastAsia="ar-SA"/>
        </w:rPr>
      </w:pPr>
      <w:r w:rsidRPr="00EB32F7">
        <w:rPr>
          <w:rStyle w:val="hps"/>
          <w:rFonts w:ascii="Gill Sans MT" w:hAnsi="Gill Sans MT" w:cstheme="minorHAnsi"/>
          <w:b/>
          <w:color w:val="EF7F24"/>
        </w:rPr>
        <w:t>Administrativni podaci</w:t>
      </w:r>
      <w:r w:rsidR="00D52FE9" w:rsidRPr="00EB32F7">
        <w:rPr>
          <w:rStyle w:val="hps"/>
          <w:rFonts w:ascii="Gill Sans MT" w:hAnsi="Gill Sans MT" w:cstheme="minorHAnsi"/>
          <w:b/>
          <w:color w:val="EF7F24"/>
        </w:rPr>
        <w:t xml:space="preserve"> </w:t>
      </w:r>
      <w:r w:rsidR="00BF18E3" w:rsidRPr="00EB32F7">
        <w:rPr>
          <w:rStyle w:val="hps"/>
          <w:rFonts w:ascii="Gill Sans MT" w:hAnsi="Gill Sans MT" w:cstheme="minorHAnsi"/>
          <w:b/>
          <w:color w:val="EF7F24"/>
        </w:rPr>
        <w:t>(rok</w:t>
      </w:r>
      <w:r w:rsidR="00BF18E3" w:rsidRPr="00EB32F7">
        <w:rPr>
          <w:rFonts w:ascii="Gill Sans MT" w:hAnsi="Gill Sans MT" w:cstheme="minorHAnsi"/>
          <w:b/>
          <w:color w:val="EF7F24"/>
        </w:rPr>
        <w:t xml:space="preserve">, </w:t>
      </w:r>
      <w:r w:rsidR="00BF18E3" w:rsidRPr="00EB32F7">
        <w:rPr>
          <w:rStyle w:val="hps"/>
          <w:rFonts w:ascii="Gill Sans MT" w:hAnsi="Gill Sans MT" w:cstheme="minorHAnsi"/>
          <w:b/>
          <w:color w:val="EF7F24"/>
        </w:rPr>
        <w:t>oblik</w:t>
      </w:r>
      <w:r w:rsidR="00BF18E3" w:rsidRPr="00EB32F7">
        <w:rPr>
          <w:rFonts w:ascii="Gill Sans MT" w:hAnsi="Gill Sans MT" w:cstheme="minorHAnsi"/>
          <w:b/>
          <w:color w:val="EF7F24"/>
        </w:rPr>
        <w:t xml:space="preserve"> </w:t>
      </w:r>
      <w:r w:rsidR="00BF18E3" w:rsidRPr="00EB32F7">
        <w:rPr>
          <w:rStyle w:val="hps"/>
          <w:rFonts w:ascii="Gill Sans MT" w:hAnsi="Gill Sans MT" w:cstheme="minorHAnsi"/>
          <w:b/>
          <w:color w:val="EF7F24"/>
        </w:rPr>
        <w:t>i mjesto</w:t>
      </w:r>
      <w:r w:rsidR="00BF18E3" w:rsidRPr="00EB32F7">
        <w:rPr>
          <w:rFonts w:ascii="Gill Sans MT" w:hAnsi="Gill Sans MT" w:cstheme="minorHAnsi"/>
          <w:b/>
          <w:color w:val="EF7F24"/>
        </w:rPr>
        <w:t xml:space="preserve"> </w:t>
      </w:r>
      <w:r w:rsidR="00BF18E3" w:rsidRPr="00EB32F7">
        <w:rPr>
          <w:rStyle w:val="hps"/>
          <w:rFonts w:ascii="Gill Sans MT" w:hAnsi="Gill Sans MT" w:cstheme="minorHAnsi"/>
          <w:b/>
          <w:color w:val="EF7F24"/>
        </w:rPr>
        <w:t>podnošenja</w:t>
      </w:r>
      <w:r w:rsidR="00BF18E3" w:rsidRPr="00EB32F7">
        <w:rPr>
          <w:rFonts w:ascii="Gill Sans MT" w:hAnsi="Gill Sans MT" w:cstheme="minorHAnsi"/>
          <w:b/>
          <w:color w:val="EF7F24"/>
        </w:rPr>
        <w:t>)</w:t>
      </w:r>
    </w:p>
    <w:p w14:paraId="187BBFC7" w14:textId="77777777" w:rsidR="00FC5CEB" w:rsidRPr="00EB32F7" w:rsidRDefault="00FC5CEB" w:rsidP="00FC5CEB">
      <w:pPr>
        <w:tabs>
          <w:tab w:val="center" w:pos="4320"/>
          <w:tab w:val="right" w:pos="8640"/>
        </w:tabs>
        <w:spacing w:after="0" w:line="240" w:lineRule="auto"/>
        <w:rPr>
          <w:rFonts w:ascii="Gill Sans MT" w:eastAsia="Times New Roman" w:hAnsi="Gill Sans MT" w:cstheme="minorHAnsi"/>
          <w:b/>
          <w:bCs/>
          <w:lang w:val="en-US" w:eastAsia="ar-SA"/>
        </w:rPr>
      </w:pPr>
    </w:p>
    <w:p w14:paraId="5E78FBA6" w14:textId="77777777" w:rsidR="00FE20D5" w:rsidRPr="00EB32F7" w:rsidRDefault="00CB0F83" w:rsidP="00B87B2E">
      <w:pPr>
        <w:tabs>
          <w:tab w:val="center" w:pos="4320"/>
          <w:tab w:val="right" w:pos="8640"/>
        </w:tabs>
        <w:spacing w:after="0" w:line="360" w:lineRule="auto"/>
        <w:jc w:val="both"/>
        <w:rPr>
          <w:rFonts w:ascii="Gill Sans MT" w:eastAsia="Times New Roman" w:hAnsi="Gill Sans MT" w:cstheme="minorHAnsi"/>
          <w:szCs w:val="32"/>
          <w:lang w:eastAsia="en-US"/>
        </w:rPr>
      </w:pPr>
      <w:r w:rsidRPr="00EB32F7">
        <w:rPr>
          <w:rFonts w:ascii="Gill Sans MT" w:eastAsia="Times New Roman" w:hAnsi="Gill Sans MT" w:cstheme="minorHAnsi"/>
          <w:szCs w:val="32"/>
          <w:lang w:eastAsia="en-US"/>
        </w:rPr>
        <w:t>Projektni prijedlozi</w:t>
      </w:r>
      <w:r w:rsidR="00FE20D5" w:rsidRPr="00EB32F7">
        <w:rPr>
          <w:rFonts w:ascii="Gill Sans MT" w:eastAsia="Times New Roman" w:hAnsi="Gill Sans MT" w:cstheme="minorHAnsi"/>
          <w:szCs w:val="32"/>
          <w:lang w:eastAsia="en-US"/>
        </w:rPr>
        <w:t xml:space="preserve"> podnose se u jednom zatvorenom paketu/omotnici isključivo preporučenom poštanskom pošiljkom ili osobnom dostavom najkasnije do </w:t>
      </w:r>
      <w:r w:rsidR="00FE20D5" w:rsidRPr="00EB32F7">
        <w:rPr>
          <w:rFonts w:ascii="Gill Sans MT" w:eastAsia="Times New Roman" w:hAnsi="Gill Sans MT" w:cstheme="minorHAnsi"/>
          <w:b/>
          <w:szCs w:val="32"/>
          <w:lang w:eastAsia="en-US"/>
        </w:rPr>
        <w:t>3</w:t>
      </w:r>
      <w:r w:rsidR="00536995" w:rsidRPr="00EB32F7">
        <w:rPr>
          <w:rFonts w:ascii="Gill Sans MT" w:eastAsia="Times New Roman" w:hAnsi="Gill Sans MT" w:cstheme="minorHAnsi"/>
          <w:b/>
          <w:szCs w:val="32"/>
          <w:lang w:eastAsia="en-US"/>
        </w:rPr>
        <w:t>0</w:t>
      </w:r>
      <w:r w:rsidR="00FE20D5" w:rsidRPr="00EB32F7">
        <w:rPr>
          <w:rFonts w:ascii="Gill Sans MT" w:eastAsia="Times New Roman" w:hAnsi="Gill Sans MT" w:cstheme="minorHAnsi"/>
          <w:b/>
          <w:szCs w:val="32"/>
          <w:lang w:eastAsia="en-US"/>
        </w:rPr>
        <w:t xml:space="preserve">. </w:t>
      </w:r>
      <w:r w:rsidR="00536995" w:rsidRPr="00EB32F7">
        <w:rPr>
          <w:rFonts w:ascii="Gill Sans MT" w:eastAsia="Times New Roman" w:hAnsi="Gill Sans MT" w:cstheme="minorHAnsi"/>
          <w:b/>
          <w:szCs w:val="32"/>
          <w:lang w:eastAsia="en-US"/>
        </w:rPr>
        <w:t>lipnja</w:t>
      </w:r>
      <w:r w:rsidR="001B1D74" w:rsidRPr="00EB32F7">
        <w:rPr>
          <w:rFonts w:ascii="Gill Sans MT" w:eastAsia="Times New Roman" w:hAnsi="Gill Sans MT" w:cstheme="minorHAnsi"/>
          <w:b/>
          <w:szCs w:val="32"/>
          <w:lang w:eastAsia="en-US"/>
        </w:rPr>
        <w:t xml:space="preserve"> 20</w:t>
      </w:r>
      <w:r w:rsidR="00536995" w:rsidRPr="00EB32F7">
        <w:rPr>
          <w:rFonts w:ascii="Gill Sans MT" w:eastAsia="Times New Roman" w:hAnsi="Gill Sans MT" w:cstheme="minorHAnsi"/>
          <w:b/>
          <w:szCs w:val="32"/>
          <w:lang w:eastAsia="en-US"/>
        </w:rPr>
        <w:t>22</w:t>
      </w:r>
      <w:r w:rsidR="00FE20D5" w:rsidRPr="00EB32F7">
        <w:rPr>
          <w:rFonts w:ascii="Gill Sans MT" w:eastAsia="Times New Roman" w:hAnsi="Gill Sans MT" w:cstheme="minorHAnsi"/>
          <w:szCs w:val="32"/>
          <w:lang w:eastAsia="en-US"/>
        </w:rPr>
        <w:t>. na adresu:</w:t>
      </w:r>
    </w:p>
    <w:p w14:paraId="625AFEA5" w14:textId="77777777" w:rsidR="00FE20D5" w:rsidRPr="00EB32F7" w:rsidRDefault="00FE20D5" w:rsidP="00FE20D5">
      <w:pPr>
        <w:spacing w:after="0" w:line="240" w:lineRule="exact"/>
        <w:ind w:right="172"/>
        <w:jc w:val="both"/>
        <w:rPr>
          <w:rFonts w:ascii="Gill Sans MT" w:eastAsia="Times New Roman" w:hAnsi="Gill Sans MT" w:cstheme="minorHAnsi"/>
          <w:bCs/>
          <w:lang w:val="en-US" w:eastAsia="ar-SA"/>
        </w:rPr>
      </w:pPr>
    </w:p>
    <w:p w14:paraId="57E7FCFF" w14:textId="77777777" w:rsidR="00FE20D5" w:rsidRPr="00EB32F7" w:rsidRDefault="00FE20D5" w:rsidP="00FC1B84">
      <w:pPr>
        <w:spacing w:after="120" w:line="240" w:lineRule="auto"/>
        <w:jc w:val="center"/>
        <w:rPr>
          <w:rFonts w:ascii="Gill Sans MT" w:eastAsia="Times New Roman" w:hAnsi="Gill Sans MT" w:cstheme="minorHAnsi"/>
          <w:b/>
          <w:szCs w:val="32"/>
          <w:lang w:eastAsia="en-US"/>
        </w:rPr>
      </w:pPr>
      <w:r w:rsidRPr="00EB32F7">
        <w:rPr>
          <w:rFonts w:ascii="Gill Sans MT" w:eastAsia="Times New Roman" w:hAnsi="Gill Sans MT" w:cstheme="minorHAnsi"/>
          <w:b/>
          <w:szCs w:val="32"/>
          <w:lang w:eastAsia="en-US"/>
        </w:rPr>
        <w:t>Središnja agencija za financiranje i ugovaranje programa i projekata Europske unije</w:t>
      </w:r>
    </w:p>
    <w:p w14:paraId="79E1A28B" w14:textId="77777777" w:rsidR="00FE20D5" w:rsidRPr="00EB32F7" w:rsidRDefault="00FE20D5" w:rsidP="00FC1B84">
      <w:pPr>
        <w:spacing w:after="120" w:line="240" w:lineRule="auto"/>
        <w:jc w:val="center"/>
        <w:rPr>
          <w:rFonts w:ascii="Gill Sans MT" w:eastAsia="Times New Roman" w:hAnsi="Gill Sans MT" w:cstheme="minorHAnsi"/>
          <w:b/>
          <w:szCs w:val="32"/>
          <w:lang w:eastAsia="en-US"/>
        </w:rPr>
      </w:pPr>
      <w:r w:rsidRPr="00EB32F7">
        <w:rPr>
          <w:rFonts w:ascii="Gill Sans MT" w:eastAsia="Times New Roman" w:hAnsi="Gill Sans MT" w:cstheme="minorHAnsi"/>
          <w:b/>
          <w:szCs w:val="32"/>
          <w:lang w:eastAsia="en-US"/>
        </w:rPr>
        <w:t>Ulica grada Vukovara 284 (objekt C)</w:t>
      </w:r>
    </w:p>
    <w:p w14:paraId="60259B84" w14:textId="77777777" w:rsidR="00FE20D5" w:rsidRPr="00EB32F7" w:rsidRDefault="00FE20D5" w:rsidP="00FC1B84">
      <w:pPr>
        <w:spacing w:after="120" w:line="240" w:lineRule="auto"/>
        <w:jc w:val="center"/>
        <w:rPr>
          <w:rFonts w:ascii="Gill Sans MT" w:eastAsia="Times New Roman" w:hAnsi="Gill Sans MT" w:cstheme="minorHAnsi"/>
          <w:b/>
          <w:szCs w:val="32"/>
          <w:lang w:eastAsia="en-US"/>
        </w:rPr>
      </w:pPr>
      <w:r w:rsidRPr="00EB32F7">
        <w:rPr>
          <w:rFonts w:ascii="Gill Sans MT" w:eastAsia="Times New Roman" w:hAnsi="Gill Sans MT" w:cstheme="minorHAnsi"/>
          <w:b/>
          <w:szCs w:val="32"/>
          <w:lang w:eastAsia="en-US"/>
        </w:rPr>
        <w:t>HR - 10000 Zagreb</w:t>
      </w:r>
    </w:p>
    <w:p w14:paraId="1DCBFBE2" w14:textId="77777777" w:rsidR="003521EE" w:rsidRPr="00EB32F7" w:rsidRDefault="003521EE" w:rsidP="003521EE">
      <w:pPr>
        <w:tabs>
          <w:tab w:val="center" w:pos="4320"/>
          <w:tab w:val="right" w:pos="8640"/>
        </w:tabs>
        <w:spacing w:after="0" w:line="240" w:lineRule="auto"/>
        <w:jc w:val="both"/>
        <w:rPr>
          <w:rFonts w:ascii="Gill Sans MT" w:eastAsia="Times New Roman" w:hAnsi="Gill Sans MT" w:cstheme="minorHAnsi"/>
          <w:bCs/>
          <w:lang w:eastAsia="ar-SA"/>
        </w:rPr>
      </w:pPr>
    </w:p>
    <w:p w14:paraId="358ADA47" w14:textId="77777777" w:rsidR="00FC5CEB" w:rsidRDefault="00BF18E3" w:rsidP="00FC5CEB">
      <w:pPr>
        <w:spacing w:line="200" w:lineRule="exact"/>
        <w:rPr>
          <w:rFonts w:ascii="Gill Sans MT" w:eastAsia="Times New Roman" w:hAnsi="Gill Sans MT" w:cstheme="minorHAnsi"/>
          <w:szCs w:val="32"/>
          <w:lang w:eastAsia="en-US"/>
        </w:rPr>
      </w:pPr>
      <w:r w:rsidRPr="00EB32F7">
        <w:rPr>
          <w:rFonts w:ascii="Gill Sans MT" w:eastAsia="Times New Roman" w:hAnsi="Gill Sans MT" w:cstheme="minorHAnsi"/>
          <w:bCs/>
          <w:lang w:eastAsia="ar-SA"/>
        </w:rPr>
        <w:t xml:space="preserve"> </w:t>
      </w:r>
      <w:r w:rsidR="00FC5CEB" w:rsidRPr="00EB32F7">
        <w:rPr>
          <w:rFonts w:ascii="Gill Sans MT" w:eastAsia="Times New Roman" w:hAnsi="Gill Sans MT" w:cstheme="minorHAnsi"/>
          <w:szCs w:val="32"/>
          <w:lang w:eastAsia="en-US"/>
        </w:rPr>
        <w:t>Paket za prijavu treba sadržavati sljedeće dokumente podnesene u zatraženom formatu:</w:t>
      </w:r>
    </w:p>
    <w:tbl>
      <w:tblPr>
        <w:tblStyle w:val="GridTable4-Accent61"/>
        <w:tblW w:w="5000" w:type="pct"/>
        <w:tblLook w:val="06A0" w:firstRow="1" w:lastRow="0" w:firstColumn="1" w:lastColumn="0" w:noHBand="1" w:noVBand="1"/>
      </w:tblPr>
      <w:tblGrid>
        <w:gridCol w:w="3427"/>
        <w:gridCol w:w="1983"/>
        <w:gridCol w:w="3652"/>
      </w:tblGrid>
      <w:tr w:rsidR="00142B09" w:rsidRPr="00F67E5C" w14:paraId="4817A317" w14:textId="77777777" w:rsidTr="00142B09">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891" w:type="pct"/>
          </w:tcPr>
          <w:p w14:paraId="2AE4B315" w14:textId="77777777" w:rsidR="00142B09" w:rsidRPr="00F67E5C" w:rsidRDefault="00142B09" w:rsidP="00FF2DC1">
            <w:r w:rsidRPr="00F67E5C">
              <w:t>Dokument</w:t>
            </w:r>
          </w:p>
        </w:tc>
        <w:tc>
          <w:tcPr>
            <w:tcW w:w="1094" w:type="pct"/>
          </w:tcPr>
          <w:p w14:paraId="22B6E594" w14:textId="77777777" w:rsidR="00142B09" w:rsidRPr="00F67E5C" w:rsidRDefault="00142B09" w:rsidP="00FF2DC1">
            <w:pPr>
              <w:cnfStyle w:val="100000000000" w:firstRow="1" w:lastRow="0" w:firstColumn="0" w:lastColumn="0" w:oddVBand="0" w:evenVBand="0" w:oddHBand="0" w:evenHBand="0" w:firstRowFirstColumn="0" w:firstRowLastColumn="0" w:lastRowFirstColumn="0" w:lastRowLastColumn="0"/>
            </w:pPr>
            <w:r w:rsidRPr="00F67E5C">
              <w:t>Obvezno (da ili ne)</w:t>
            </w:r>
          </w:p>
        </w:tc>
        <w:tc>
          <w:tcPr>
            <w:tcW w:w="2015" w:type="pct"/>
          </w:tcPr>
          <w:p w14:paraId="5D92140A" w14:textId="77777777" w:rsidR="00142B09" w:rsidRPr="00F67E5C" w:rsidRDefault="00142B09" w:rsidP="00FF2DC1">
            <w:pPr>
              <w:cnfStyle w:val="100000000000" w:firstRow="1" w:lastRow="0" w:firstColumn="0" w:lastColumn="0" w:oddVBand="0" w:evenVBand="0" w:oddHBand="0" w:evenHBand="0" w:firstRowFirstColumn="0" w:firstRowLastColumn="0" w:lastRowFirstColumn="0" w:lastRowLastColumn="0"/>
            </w:pPr>
            <w:r w:rsidRPr="00F67E5C">
              <w:t>Referenca</w:t>
            </w:r>
          </w:p>
        </w:tc>
      </w:tr>
      <w:tr w:rsidR="00142B09" w:rsidRPr="00F67E5C" w14:paraId="30B6A629" w14:textId="77777777" w:rsidTr="00142B09">
        <w:tc>
          <w:tcPr>
            <w:cnfStyle w:val="001000000000" w:firstRow="0" w:lastRow="0" w:firstColumn="1" w:lastColumn="0" w:oddVBand="0" w:evenVBand="0" w:oddHBand="0" w:evenHBand="0" w:firstRowFirstColumn="0" w:firstRowLastColumn="0" w:lastRowFirstColumn="0" w:lastRowLastColumn="0"/>
            <w:tcW w:w="1891" w:type="pct"/>
          </w:tcPr>
          <w:p w14:paraId="4DD892EE" w14:textId="77777777" w:rsidR="00142B09" w:rsidRPr="00F67E5C" w:rsidRDefault="00142B09" w:rsidP="00FF2DC1">
            <w:pPr>
              <w:rPr>
                <w:rFonts w:ascii="Gill Sans MT" w:hAnsi="Gill Sans MT"/>
                <w:b w:val="0"/>
              </w:rPr>
            </w:pPr>
            <w:r w:rsidRPr="00F67E5C">
              <w:rPr>
                <w:rFonts w:ascii="Gill Sans MT" w:hAnsi="Gill Sans MT"/>
              </w:rPr>
              <w:t>1. Prijavni obrazac A dio</w:t>
            </w:r>
            <w:r w:rsidRPr="00F67E5C">
              <w:rPr>
                <w:rStyle w:val="FootnoteReference"/>
                <w:rFonts w:ascii="Gill Sans MT" w:hAnsi="Gill Sans MT" w:cs="Times New Roman"/>
              </w:rPr>
              <w:footnoteReference w:id="4"/>
            </w:r>
          </w:p>
        </w:tc>
        <w:tc>
          <w:tcPr>
            <w:tcW w:w="1094" w:type="pct"/>
          </w:tcPr>
          <w:p w14:paraId="08898BAE" w14:textId="77777777" w:rsidR="00142B09" w:rsidRPr="00F67E5C" w:rsidRDefault="00142B09" w:rsidP="00FF2DC1">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da</w:t>
            </w:r>
          </w:p>
        </w:tc>
        <w:tc>
          <w:tcPr>
            <w:tcW w:w="2015" w:type="pct"/>
          </w:tcPr>
          <w:p w14:paraId="1FC0562C" w14:textId="410F47B2" w:rsidR="00142B09" w:rsidRPr="00F67E5C" w:rsidRDefault="00142B09" w:rsidP="00FF2DC1">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(obrazac je dostupan za popunjavanje u elektroničkom formatu)</w:t>
            </w:r>
          </w:p>
        </w:tc>
      </w:tr>
      <w:tr w:rsidR="00142B09" w:rsidRPr="00F67E5C" w14:paraId="3B0B385C" w14:textId="77777777" w:rsidTr="00142B09">
        <w:tc>
          <w:tcPr>
            <w:cnfStyle w:val="001000000000" w:firstRow="0" w:lastRow="0" w:firstColumn="1" w:lastColumn="0" w:oddVBand="0" w:evenVBand="0" w:oddHBand="0" w:evenHBand="0" w:firstRowFirstColumn="0" w:firstRowLastColumn="0" w:lastRowFirstColumn="0" w:lastRowLastColumn="0"/>
            <w:tcW w:w="1891" w:type="pct"/>
          </w:tcPr>
          <w:p w14:paraId="6A113401" w14:textId="77777777" w:rsidR="00142B09" w:rsidRPr="00F67E5C" w:rsidRDefault="00142B09" w:rsidP="00FF2DC1">
            <w:pPr>
              <w:rPr>
                <w:rFonts w:ascii="Gill Sans MT" w:hAnsi="Gill Sans MT"/>
                <w:b w:val="0"/>
              </w:rPr>
            </w:pPr>
            <w:r w:rsidRPr="00F67E5C">
              <w:rPr>
                <w:rFonts w:ascii="Gill Sans MT" w:hAnsi="Gill Sans MT"/>
              </w:rPr>
              <w:t>2. Prijavni obrazac B dio</w:t>
            </w:r>
          </w:p>
        </w:tc>
        <w:tc>
          <w:tcPr>
            <w:tcW w:w="1094" w:type="pct"/>
          </w:tcPr>
          <w:p w14:paraId="310504A6" w14:textId="77777777" w:rsidR="00142B09" w:rsidRPr="00F67E5C" w:rsidRDefault="00142B09" w:rsidP="00FF2DC1">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da </w:t>
            </w:r>
          </w:p>
        </w:tc>
        <w:tc>
          <w:tcPr>
            <w:tcW w:w="2015" w:type="pct"/>
          </w:tcPr>
          <w:p w14:paraId="28901891" w14:textId="74C21C1B" w:rsidR="00142B09" w:rsidRPr="00F67E5C" w:rsidRDefault="005E3962" w:rsidP="00FF2DC1">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Obrazac 1</w:t>
            </w:r>
            <w:r w:rsidR="00142B09" w:rsidRPr="00F67E5C">
              <w:rPr>
                <w:rFonts w:ascii="Gill Sans MT" w:hAnsi="Gill Sans MT"/>
              </w:rPr>
              <w:t>.</w:t>
            </w:r>
          </w:p>
        </w:tc>
      </w:tr>
      <w:tr w:rsidR="00142B09" w:rsidRPr="00F67E5C" w14:paraId="1BD49435" w14:textId="77777777" w:rsidTr="00142B09">
        <w:tc>
          <w:tcPr>
            <w:cnfStyle w:val="001000000000" w:firstRow="0" w:lastRow="0" w:firstColumn="1" w:lastColumn="0" w:oddVBand="0" w:evenVBand="0" w:oddHBand="0" w:evenHBand="0" w:firstRowFirstColumn="0" w:firstRowLastColumn="0" w:lastRowFirstColumn="0" w:lastRowLastColumn="0"/>
            <w:tcW w:w="1891" w:type="pct"/>
          </w:tcPr>
          <w:p w14:paraId="387DF86A" w14:textId="77777777" w:rsidR="00142B09" w:rsidRPr="00F67E5C" w:rsidRDefault="00142B09" w:rsidP="00FF2DC1">
            <w:pPr>
              <w:rPr>
                <w:rFonts w:ascii="Gill Sans MT" w:hAnsi="Gill Sans MT"/>
                <w:b w:val="0"/>
              </w:rPr>
            </w:pPr>
            <w:r w:rsidRPr="00F67E5C">
              <w:rPr>
                <w:rFonts w:ascii="Gill Sans MT" w:hAnsi="Gill Sans MT"/>
              </w:rPr>
              <w:t>3. Izjava prijavitelja</w:t>
            </w:r>
          </w:p>
        </w:tc>
        <w:tc>
          <w:tcPr>
            <w:tcW w:w="1094" w:type="pct"/>
          </w:tcPr>
          <w:p w14:paraId="53AFCFED" w14:textId="77777777" w:rsidR="00142B09" w:rsidRPr="00F67E5C" w:rsidRDefault="00142B09" w:rsidP="00FF2DC1">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da</w:t>
            </w:r>
          </w:p>
        </w:tc>
        <w:tc>
          <w:tcPr>
            <w:tcW w:w="2015" w:type="pct"/>
          </w:tcPr>
          <w:p w14:paraId="1AC893A3" w14:textId="327A76A4" w:rsidR="00142B09" w:rsidRPr="00F67E5C" w:rsidRDefault="005E3962" w:rsidP="00FF2DC1">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Obrazac 2</w:t>
            </w:r>
            <w:r w:rsidR="00142B09" w:rsidRPr="00F67E5C">
              <w:rPr>
                <w:rFonts w:ascii="Gill Sans MT" w:hAnsi="Gill Sans MT"/>
              </w:rPr>
              <w:t>.</w:t>
            </w:r>
          </w:p>
        </w:tc>
      </w:tr>
      <w:tr w:rsidR="00142B09" w:rsidRPr="00F67E5C" w14:paraId="14FBCBD4" w14:textId="77777777" w:rsidTr="00142B09">
        <w:tc>
          <w:tcPr>
            <w:cnfStyle w:val="001000000000" w:firstRow="0" w:lastRow="0" w:firstColumn="1" w:lastColumn="0" w:oddVBand="0" w:evenVBand="0" w:oddHBand="0" w:evenHBand="0" w:firstRowFirstColumn="0" w:firstRowLastColumn="0" w:lastRowFirstColumn="0" w:lastRowLastColumn="0"/>
            <w:tcW w:w="1891" w:type="pct"/>
          </w:tcPr>
          <w:p w14:paraId="45466D60" w14:textId="77777777" w:rsidR="00142B09" w:rsidRPr="00F67E5C" w:rsidRDefault="00142B09" w:rsidP="00FF2DC1">
            <w:pPr>
              <w:rPr>
                <w:rFonts w:ascii="Gill Sans MT" w:hAnsi="Gill Sans MT"/>
                <w:b w:val="0"/>
              </w:rPr>
            </w:pPr>
            <w:r w:rsidRPr="00F67E5C">
              <w:rPr>
                <w:rFonts w:ascii="Gill Sans MT" w:hAnsi="Gill Sans MT"/>
              </w:rPr>
              <w:t>4. Izjava partnera</w:t>
            </w:r>
          </w:p>
        </w:tc>
        <w:tc>
          <w:tcPr>
            <w:tcW w:w="1094" w:type="pct"/>
          </w:tcPr>
          <w:p w14:paraId="39DED797" w14:textId="77777777" w:rsidR="00142B09" w:rsidRPr="00F67E5C" w:rsidRDefault="00142B09" w:rsidP="00FF2DC1">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da, ako je primjenjivo</w:t>
            </w:r>
          </w:p>
        </w:tc>
        <w:tc>
          <w:tcPr>
            <w:tcW w:w="2015" w:type="pct"/>
          </w:tcPr>
          <w:p w14:paraId="35017BEC" w14:textId="7A3F8567" w:rsidR="00142B09" w:rsidRPr="00F67E5C" w:rsidRDefault="005E3962" w:rsidP="00FF2DC1">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Obrazac 2</w:t>
            </w:r>
            <w:r w:rsidR="00142B09" w:rsidRPr="00F67E5C">
              <w:rPr>
                <w:rFonts w:ascii="Gill Sans MT" w:hAnsi="Gill Sans MT"/>
              </w:rPr>
              <w:t>a.</w:t>
            </w:r>
          </w:p>
        </w:tc>
      </w:tr>
      <w:tr w:rsidR="00142B09" w:rsidRPr="00F67E5C" w14:paraId="41545AFA" w14:textId="77777777" w:rsidTr="00142B09">
        <w:tc>
          <w:tcPr>
            <w:cnfStyle w:val="001000000000" w:firstRow="0" w:lastRow="0" w:firstColumn="1" w:lastColumn="0" w:oddVBand="0" w:evenVBand="0" w:oddHBand="0" w:evenHBand="0" w:firstRowFirstColumn="0" w:firstRowLastColumn="0" w:lastRowFirstColumn="0" w:lastRowLastColumn="0"/>
            <w:tcW w:w="1891" w:type="pct"/>
          </w:tcPr>
          <w:p w14:paraId="1AC7353F" w14:textId="77777777" w:rsidR="00142B09" w:rsidRPr="00F67E5C" w:rsidRDefault="00142B09" w:rsidP="00FF2DC1">
            <w:r w:rsidRPr="00F67E5C">
              <w:rPr>
                <w:rFonts w:ascii="Gill Sans MT" w:hAnsi="Gill Sans MT"/>
              </w:rPr>
              <w:t>5. Sporazum o partnerstvu</w:t>
            </w:r>
          </w:p>
        </w:tc>
        <w:tc>
          <w:tcPr>
            <w:tcW w:w="1094" w:type="pct"/>
          </w:tcPr>
          <w:p w14:paraId="67527253" w14:textId="77777777" w:rsidR="00142B09" w:rsidRPr="00F67E5C" w:rsidRDefault="00142B09" w:rsidP="00FF2DC1">
            <w:pPr>
              <w:cnfStyle w:val="000000000000" w:firstRow="0" w:lastRow="0" w:firstColumn="0" w:lastColumn="0" w:oddVBand="0" w:evenVBand="0" w:oddHBand="0" w:evenHBand="0" w:firstRowFirstColumn="0" w:firstRowLastColumn="0" w:lastRowFirstColumn="0" w:lastRowLastColumn="0"/>
            </w:pPr>
            <w:r w:rsidRPr="00F67E5C">
              <w:rPr>
                <w:rFonts w:ascii="Gill Sans MT" w:hAnsi="Gill Sans MT"/>
              </w:rPr>
              <w:t>da, ako je primjenjivo</w:t>
            </w:r>
          </w:p>
        </w:tc>
        <w:tc>
          <w:tcPr>
            <w:tcW w:w="2015" w:type="pct"/>
          </w:tcPr>
          <w:p w14:paraId="60F8BC15" w14:textId="4AC8648E" w:rsidR="00142B09" w:rsidRPr="00F67E5C" w:rsidRDefault="005E3962" w:rsidP="00FF2DC1">
            <w:pPr>
              <w:cnfStyle w:val="000000000000" w:firstRow="0" w:lastRow="0" w:firstColumn="0" w:lastColumn="0" w:oddVBand="0" w:evenVBand="0" w:oddHBand="0" w:evenHBand="0" w:firstRowFirstColumn="0" w:firstRowLastColumn="0" w:lastRowFirstColumn="0" w:lastRowLastColumn="0"/>
            </w:pPr>
            <w:r>
              <w:t>Obrazac 3</w:t>
            </w:r>
            <w:r w:rsidR="00142B09" w:rsidRPr="00F67E5C">
              <w:t>.</w:t>
            </w:r>
          </w:p>
        </w:tc>
      </w:tr>
      <w:tr w:rsidR="00142B09" w:rsidRPr="00F67E5C" w14:paraId="2791590D" w14:textId="77777777" w:rsidTr="00142B09">
        <w:trPr>
          <w:trHeight w:val="992"/>
        </w:trPr>
        <w:tc>
          <w:tcPr>
            <w:cnfStyle w:val="001000000000" w:firstRow="0" w:lastRow="0" w:firstColumn="1" w:lastColumn="0" w:oddVBand="0" w:evenVBand="0" w:oddHBand="0" w:evenHBand="0" w:firstRowFirstColumn="0" w:firstRowLastColumn="0" w:lastRowFirstColumn="0" w:lastRowLastColumn="0"/>
            <w:tcW w:w="1891" w:type="pct"/>
          </w:tcPr>
          <w:p w14:paraId="5C33117E" w14:textId="77777777" w:rsidR="00142B09" w:rsidRPr="00F67E5C" w:rsidRDefault="00142B09" w:rsidP="00FF2DC1">
            <w:pPr>
              <w:rPr>
                <w:rFonts w:ascii="Gill Sans MT" w:hAnsi="Gill Sans MT"/>
                <w:b w:val="0"/>
              </w:rPr>
            </w:pPr>
            <w:r w:rsidRPr="00F67E5C">
              <w:rPr>
                <w:rFonts w:ascii="Gill Sans MT" w:hAnsi="Gill Sans MT"/>
              </w:rPr>
              <w:t xml:space="preserve">6. </w:t>
            </w:r>
            <w:r w:rsidRPr="00F67E5C">
              <w:rPr>
                <w:rFonts w:ascii="Gill Sans MT" w:hAnsi="Gill Sans MT"/>
                <w:noProof/>
              </w:rPr>
              <w:t>Izjava prijavitelja o statusu s obzirom na (ne)povrativost poreza na dodanu vrijednost</w:t>
            </w:r>
          </w:p>
        </w:tc>
        <w:tc>
          <w:tcPr>
            <w:tcW w:w="1094" w:type="pct"/>
          </w:tcPr>
          <w:p w14:paraId="2E330576" w14:textId="77777777" w:rsidR="00142B09" w:rsidRPr="00F67E5C" w:rsidRDefault="00142B09" w:rsidP="00FF2DC1">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da</w:t>
            </w:r>
          </w:p>
        </w:tc>
        <w:tc>
          <w:tcPr>
            <w:tcW w:w="2015" w:type="pct"/>
          </w:tcPr>
          <w:p w14:paraId="76654EEA" w14:textId="6BD5F9D5" w:rsidR="00142B09" w:rsidRPr="00F67E5C" w:rsidRDefault="005E3962" w:rsidP="00FF2DC1">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Obrazac 4</w:t>
            </w:r>
            <w:r w:rsidR="00142B09" w:rsidRPr="00F67E5C">
              <w:rPr>
                <w:rFonts w:ascii="Gill Sans MT" w:hAnsi="Gill Sans MT"/>
              </w:rPr>
              <w:t>.</w:t>
            </w:r>
          </w:p>
        </w:tc>
      </w:tr>
      <w:tr w:rsidR="00142B09" w:rsidRPr="00F67E5C" w14:paraId="2229EB74" w14:textId="77777777" w:rsidTr="00142B09">
        <w:trPr>
          <w:trHeight w:val="333"/>
        </w:trPr>
        <w:tc>
          <w:tcPr>
            <w:cnfStyle w:val="001000000000" w:firstRow="0" w:lastRow="0" w:firstColumn="1" w:lastColumn="0" w:oddVBand="0" w:evenVBand="0" w:oddHBand="0" w:evenHBand="0" w:firstRowFirstColumn="0" w:firstRowLastColumn="0" w:lastRowFirstColumn="0" w:lastRowLastColumn="0"/>
            <w:tcW w:w="1891" w:type="pct"/>
          </w:tcPr>
          <w:p w14:paraId="0E120CE3" w14:textId="77777777" w:rsidR="00142B09" w:rsidRPr="00F67E5C" w:rsidRDefault="00142B09" w:rsidP="00FF2DC1">
            <w:pPr>
              <w:rPr>
                <w:rFonts w:ascii="Gill Sans MT" w:hAnsi="Gill Sans MT"/>
                <w:b w:val="0"/>
              </w:rPr>
            </w:pPr>
            <w:r w:rsidRPr="00F67E5C">
              <w:rPr>
                <w:rFonts w:ascii="Gill Sans MT" w:hAnsi="Gill Sans MT"/>
                <w:noProof/>
              </w:rPr>
              <w:t>7. Izjava partnera o statusu s obzirom na (ne)povrativost poreza na dodanu vrijednost</w:t>
            </w:r>
          </w:p>
        </w:tc>
        <w:tc>
          <w:tcPr>
            <w:tcW w:w="1094" w:type="pct"/>
          </w:tcPr>
          <w:p w14:paraId="658506AD" w14:textId="77777777" w:rsidR="00142B09" w:rsidRPr="00F67E5C" w:rsidRDefault="00142B09" w:rsidP="00FF2DC1">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da, ako je primjenjivo</w:t>
            </w:r>
          </w:p>
        </w:tc>
        <w:tc>
          <w:tcPr>
            <w:tcW w:w="2015" w:type="pct"/>
          </w:tcPr>
          <w:p w14:paraId="3B5E0D1D" w14:textId="1A473E34" w:rsidR="00142B09" w:rsidRPr="00F67E5C" w:rsidRDefault="005E3962" w:rsidP="00FF2DC1">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Obrazac 4</w:t>
            </w:r>
            <w:r w:rsidR="00142B09" w:rsidRPr="00F67E5C">
              <w:rPr>
                <w:rFonts w:ascii="Gill Sans MT" w:hAnsi="Gill Sans MT"/>
              </w:rPr>
              <w:t xml:space="preserve">a. </w:t>
            </w:r>
          </w:p>
        </w:tc>
      </w:tr>
      <w:tr w:rsidR="00142B09" w:rsidRPr="00F67E5C" w14:paraId="04E1EF72" w14:textId="77777777" w:rsidTr="00142B09">
        <w:trPr>
          <w:trHeight w:val="333"/>
        </w:trPr>
        <w:tc>
          <w:tcPr>
            <w:cnfStyle w:val="001000000000" w:firstRow="0" w:lastRow="0" w:firstColumn="1" w:lastColumn="0" w:oddVBand="0" w:evenVBand="0" w:oddHBand="0" w:evenHBand="0" w:firstRowFirstColumn="0" w:firstRowLastColumn="0" w:lastRowFirstColumn="0" w:lastRowLastColumn="0"/>
            <w:tcW w:w="1891" w:type="pct"/>
          </w:tcPr>
          <w:p w14:paraId="3D3A736B" w14:textId="77777777" w:rsidR="00142B09" w:rsidRPr="00F67E5C" w:rsidRDefault="00142B09" w:rsidP="00FF2DC1">
            <w:pPr>
              <w:rPr>
                <w:rFonts w:ascii="Gill Sans MT" w:hAnsi="Gill Sans MT"/>
                <w:b w:val="0"/>
              </w:rPr>
            </w:pPr>
            <w:r w:rsidRPr="00F67E5C">
              <w:rPr>
                <w:rFonts w:ascii="Gill Sans MT" w:hAnsi="Gill Sans MT"/>
                <w:lang w:eastAsia="ar-SA"/>
              </w:rPr>
              <w:lastRenderedPageBreak/>
              <w:t>POPRATNI DOKUMENTI</w:t>
            </w:r>
            <w:r w:rsidRPr="00F67E5C">
              <w:rPr>
                <w:rStyle w:val="FootnoteReference"/>
                <w:rFonts w:ascii="Gill Sans MT" w:hAnsi="Gill Sans MT"/>
                <w:lang w:eastAsia="ar-SA"/>
              </w:rPr>
              <w:footnoteReference w:id="5"/>
            </w:r>
          </w:p>
        </w:tc>
        <w:tc>
          <w:tcPr>
            <w:tcW w:w="1094" w:type="pct"/>
          </w:tcPr>
          <w:p w14:paraId="066AA525" w14:textId="77777777" w:rsidR="00142B09" w:rsidRPr="00F67E5C" w:rsidRDefault="00142B09" w:rsidP="00FF2DC1">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015" w:type="pct"/>
          </w:tcPr>
          <w:p w14:paraId="444E24AE" w14:textId="77777777" w:rsidR="00142B09" w:rsidRPr="00F67E5C" w:rsidRDefault="00142B09" w:rsidP="00FF2DC1">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142B09" w:rsidRPr="00F67E5C" w14:paraId="03CDBBAD" w14:textId="77777777" w:rsidTr="00142B09">
        <w:trPr>
          <w:trHeight w:val="1202"/>
        </w:trPr>
        <w:tc>
          <w:tcPr>
            <w:cnfStyle w:val="001000000000" w:firstRow="0" w:lastRow="0" w:firstColumn="1" w:lastColumn="0" w:oddVBand="0" w:evenVBand="0" w:oddHBand="0" w:evenHBand="0" w:firstRowFirstColumn="0" w:firstRowLastColumn="0" w:lastRowFirstColumn="0" w:lastRowLastColumn="0"/>
            <w:tcW w:w="1891" w:type="pct"/>
          </w:tcPr>
          <w:p w14:paraId="69530F06" w14:textId="77777777" w:rsidR="00142B09" w:rsidRPr="00F67E5C" w:rsidRDefault="00142B09" w:rsidP="00FF2DC1">
            <w:pPr>
              <w:rPr>
                <w:rFonts w:ascii="Gill Sans MT" w:hAnsi="Gill Sans MT"/>
                <w:b w:val="0"/>
              </w:rPr>
            </w:pPr>
            <w:r w:rsidRPr="00F67E5C">
              <w:rPr>
                <w:rFonts w:ascii="Gill Sans MT" w:hAnsi="Gill Sans MT"/>
              </w:rPr>
              <w:t>Popratna dokumentacija za utvrđivanje prihvatljivosti prijavitelja i partnera</w:t>
            </w:r>
          </w:p>
        </w:tc>
        <w:tc>
          <w:tcPr>
            <w:tcW w:w="1094" w:type="pct"/>
          </w:tcPr>
          <w:p w14:paraId="32744E38" w14:textId="77777777" w:rsidR="00142B09" w:rsidRPr="00F67E5C" w:rsidRDefault="00142B09" w:rsidP="00FF2DC1">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Pr>
                <w:rFonts w:ascii="Gill Sans MT" w:hAnsi="Gill Sans MT"/>
                <w:noProof/>
              </w:rPr>
              <w:t>d</w:t>
            </w:r>
            <w:r w:rsidRPr="00F67E5C">
              <w:rPr>
                <w:rFonts w:ascii="Gill Sans MT" w:hAnsi="Gill Sans MT"/>
                <w:noProof/>
              </w:rPr>
              <w:t>a</w:t>
            </w:r>
            <w:r>
              <w:rPr>
                <w:rFonts w:ascii="Gill Sans MT" w:hAnsi="Gill Sans MT"/>
                <w:noProof/>
              </w:rPr>
              <w:t>, ako je primjenjivo</w:t>
            </w:r>
          </w:p>
          <w:p w14:paraId="32E9898B" w14:textId="77777777" w:rsidR="00142B09" w:rsidRPr="00F67E5C" w:rsidRDefault="00142B09" w:rsidP="00FF2DC1">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015" w:type="pct"/>
          </w:tcPr>
          <w:p w14:paraId="444E731C" w14:textId="77777777" w:rsidR="00142B09" w:rsidRPr="00F67E5C" w:rsidRDefault="00142B09" w:rsidP="00142B09">
            <w:pPr>
              <w:pStyle w:val="Default"/>
              <w:numPr>
                <w:ilvl w:val="0"/>
                <w:numId w:val="19"/>
              </w:numPr>
              <w:spacing w:before="60" w:after="60"/>
              <w:ind w:left="357" w:hanging="357"/>
              <w:jc w:val="both"/>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F67E5C">
              <w:rPr>
                <w:rFonts w:ascii="Gill Sans MT" w:hAnsi="Gill Sans MT"/>
                <w:sz w:val="20"/>
                <w:szCs w:val="20"/>
              </w:rPr>
              <w:t>Potvrda Porezne uprave da su ispunjene obveze plaćanja dospjelih poreznih obveza i obveza za mirovinsko i zdravstveno osiguranje ne starija od 30 dana od dana predaje projektne prijave</w:t>
            </w:r>
            <w:r>
              <w:rPr>
                <w:rFonts w:ascii="Gill Sans MT" w:hAnsi="Gill Sans MT"/>
                <w:sz w:val="20"/>
                <w:szCs w:val="20"/>
              </w:rPr>
              <w:t>,</w:t>
            </w:r>
            <w:r w:rsidRPr="00F67E5C">
              <w:rPr>
                <w:rFonts w:ascii="Gill Sans MT" w:hAnsi="Gill Sans MT"/>
                <w:sz w:val="20"/>
                <w:szCs w:val="20"/>
              </w:rPr>
              <w:t xml:space="preserve"> u izvorniku</w:t>
            </w:r>
            <w:r>
              <w:rPr>
                <w:rFonts w:ascii="Gill Sans MT" w:hAnsi="Gill Sans MT"/>
                <w:sz w:val="20"/>
                <w:szCs w:val="20"/>
              </w:rPr>
              <w:t xml:space="preserve"> (primjenjivo za prijavitelja i partnera)</w:t>
            </w:r>
            <w:r w:rsidRPr="00F67E5C">
              <w:rPr>
                <w:rFonts w:ascii="Gill Sans MT" w:hAnsi="Gill Sans MT"/>
                <w:sz w:val="20"/>
                <w:szCs w:val="20"/>
              </w:rPr>
              <w:t xml:space="preserve">. </w:t>
            </w:r>
          </w:p>
          <w:p w14:paraId="10A2DC4E" w14:textId="333A0591" w:rsidR="00142B09" w:rsidRDefault="00142B09" w:rsidP="00142B09">
            <w:pPr>
              <w:pStyle w:val="Header"/>
              <w:numPr>
                <w:ilvl w:val="0"/>
                <w:numId w:val="19"/>
              </w:numPr>
              <w:tabs>
                <w:tab w:val="clear" w:pos="9072"/>
                <w:tab w:val="right" w:pos="9026"/>
              </w:tabs>
              <w:spacing w:before="60" w:after="60"/>
              <w:ind w:left="357" w:right="85" w:hanging="357"/>
              <w:jc w:val="both"/>
              <w:cnfStyle w:val="000000000000" w:firstRow="0" w:lastRow="0" w:firstColumn="0" w:lastColumn="0" w:oddVBand="0" w:evenVBand="0" w:oddHBand="0" w:evenHBand="0" w:firstRowFirstColumn="0" w:firstRowLastColumn="0" w:lastRowFirstColumn="0" w:lastRowLastColumn="0"/>
              <w:rPr>
                <w:rFonts w:ascii="Gill Sans MT" w:hAnsi="Gill Sans MT"/>
                <w:bCs/>
                <w:lang w:eastAsia="ar-SA"/>
              </w:rPr>
            </w:pPr>
            <w:r w:rsidRPr="00F67E5C">
              <w:rPr>
                <w:rFonts w:ascii="Gill Sans MT" w:hAnsi="Gill Sans MT"/>
                <w:bCs/>
                <w:lang w:eastAsia="ar-SA"/>
              </w:rPr>
              <w:t>Izvadak iz odgovarajućeg registra (registra ustanova, sudskog, registra udruga, upisnika turističkih zajednica (ne stariji od 30 dana od dana predaje projektne prijave)</w:t>
            </w:r>
            <w:r w:rsidRPr="00F67E5C">
              <w:rPr>
                <w:rStyle w:val="FootnoteReference"/>
                <w:rFonts w:ascii="Gill Sans MT" w:hAnsi="Gill Sans MT"/>
                <w:bCs/>
                <w:lang w:eastAsia="ar-SA"/>
              </w:rPr>
              <w:footnoteReference w:id="6"/>
            </w:r>
            <w:r w:rsidRPr="00F67E5C">
              <w:rPr>
                <w:rFonts w:ascii="Gill Sans MT" w:hAnsi="Gill Sans MT"/>
                <w:bCs/>
                <w:lang w:eastAsia="ar-SA"/>
              </w:rPr>
              <w:t xml:space="preserve"> </w:t>
            </w:r>
            <w:r>
              <w:rPr>
                <w:rFonts w:ascii="Gill Sans MT" w:hAnsi="Gill Sans MT"/>
                <w:bCs/>
                <w:lang w:eastAsia="ar-SA"/>
              </w:rPr>
              <w:t xml:space="preserve"> - nije primjenjivo ako je p</w:t>
            </w:r>
            <w:r w:rsidR="00646174">
              <w:rPr>
                <w:rFonts w:ascii="Gill Sans MT" w:hAnsi="Gill Sans MT"/>
                <w:bCs/>
                <w:lang w:eastAsia="ar-SA"/>
              </w:rPr>
              <w:t>rijavitelj/partner JLS</w:t>
            </w:r>
            <w:r>
              <w:rPr>
                <w:rFonts w:ascii="Gill Sans MT" w:hAnsi="Gill Sans MT"/>
                <w:bCs/>
                <w:lang w:eastAsia="ar-SA"/>
              </w:rPr>
              <w:t>)</w:t>
            </w:r>
          </w:p>
          <w:p w14:paraId="52EA5BB9" w14:textId="08F5218B" w:rsidR="00142B09" w:rsidRPr="00F67E5C" w:rsidRDefault="00142B09" w:rsidP="00142B09">
            <w:pPr>
              <w:pStyle w:val="Header"/>
              <w:numPr>
                <w:ilvl w:val="0"/>
                <w:numId w:val="19"/>
              </w:numPr>
              <w:tabs>
                <w:tab w:val="clear" w:pos="9072"/>
                <w:tab w:val="right" w:pos="9026"/>
              </w:tabs>
              <w:spacing w:before="60" w:after="60"/>
              <w:ind w:left="357" w:right="85" w:hanging="357"/>
              <w:jc w:val="both"/>
              <w:cnfStyle w:val="000000000000" w:firstRow="0" w:lastRow="0" w:firstColumn="0" w:lastColumn="0" w:oddVBand="0" w:evenVBand="0" w:oddHBand="0" w:evenHBand="0" w:firstRowFirstColumn="0" w:firstRowLastColumn="0" w:lastRowFirstColumn="0" w:lastRowLastColumn="0"/>
              <w:rPr>
                <w:rFonts w:ascii="Gill Sans MT" w:hAnsi="Gill Sans MT"/>
                <w:bCs/>
                <w:lang w:eastAsia="ar-SA"/>
              </w:rPr>
            </w:pPr>
            <w:r w:rsidRPr="00F67E5C">
              <w:rPr>
                <w:rFonts w:ascii="Gill Sans MT" w:hAnsi="Gill Sans MT"/>
                <w:bCs/>
                <w:lang w:eastAsia="ar-SA"/>
              </w:rPr>
              <w:t>preslika</w:t>
            </w:r>
            <w:r>
              <w:rPr>
                <w:rFonts w:ascii="Gill Sans MT" w:hAnsi="Gill Sans MT"/>
                <w:bCs/>
                <w:lang w:eastAsia="ar-SA"/>
              </w:rPr>
              <w:t xml:space="preserve"> </w:t>
            </w:r>
            <w:r w:rsidRPr="00F67E5C">
              <w:rPr>
                <w:rFonts w:ascii="Gill Sans MT" w:hAnsi="Gill Sans MT"/>
              </w:rPr>
              <w:t>akta o osnivanju, statut</w:t>
            </w:r>
            <w:r>
              <w:rPr>
                <w:rFonts w:ascii="Gill Sans MT" w:hAnsi="Gill Sans MT"/>
              </w:rPr>
              <w:t>a</w:t>
            </w:r>
            <w:r w:rsidRPr="00F67E5C">
              <w:rPr>
                <w:rFonts w:ascii="Gill Sans MT" w:hAnsi="Gill Sans MT"/>
              </w:rPr>
              <w:t xml:space="preserve"> i</w:t>
            </w:r>
            <w:r>
              <w:rPr>
                <w:rFonts w:ascii="Gill Sans MT" w:hAnsi="Gill Sans MT"/>
              </w:rPr>
              <w:t>li</w:t>
            </w:r>
            <w:r w:rsidRPr="00F67E5C">
              <w:rPr>
                <w:rFonts w:ascii="Gill Sans MT" w:hAnsi="Gill Sans MT"/>
              </w:rPr>
              <w:t xml:space="preserve"> drug</w:t>
            </w:r>
            <w:r>
              <w:rPr>
                <w:rFonts w:ascii="Gill Sans MT" w:hAnsi="Gill Sans MT"/>
              </w:rPr>
              <w:t>og</w:t>
            </w:r>
            <w:r w:rsidRPr="00F67E5C">
              <w:rPr>
                <w:rFonts w:ascii="Gill Sans MT" w:hAnsi="Gill Sans MT"/>
              </w:rPr>
              <w:t xml:space="preserve"> opć</w:t>
            </w:r>
            <w:r>
              <w:rPr>
                <w:rFonts w:ascii="Gill Sans MT" w:hAnsi="Gill Sans MT"/>
              </w:rPr>
              <w:t>eg</w:t>
            </w:r>
            <w:r w:rsidRPr="00F67E5C">
              <w:rPr>
                <w:rFonts w:ascii="Gill Sans MT" w:hAnsi="Gill Sans MT"/>
              </w:rPr>
              <w:t xml:space="preserve"> akt</w:t>
            </w:r>
            <w:r>
              <w:rPr>
                <w:rFonts w:ascii="Gill Sans MT" w:hAnsi="Gill Sans MT"/>
              </w:rPr>
              <w:t>a</w:t>
            </w:r>
            <w:r w:rsidRPr="00F67E5C">
              <w:rPr>
                <w:rFonts w:ascii="Gill Sans MT" w:hAnsi="Gill Sans MT"/>
              </w:rPr>
              <w:t xml:space="preserve"> </w:t>
            </w:r>
            <w:r>
              <w:rPr>
                <w:rFonts w:ascii="Gill Sans MT" w:hAnsi="Gill Sans MT"/>
              </w:rPr>
              <w:t>(nije primjenjivo</w:t>
            </w:r>
            <w:r>
              <w:rPr>
                <w:rFonts w:ascii="Gill Sans MT" w:hAnsi="Gill Sans MT"/>
                <w:bCs/>
                <w:lang w:eastAsia="ar-SA"/>
              </w:rPr>
              <w:t xml:space="preserve"> ako je p</w:t>
            </w:r>
            <w:r w:rsidR="00646174">
              <w:rPr>
                <w:rFonts w:ascii="Gill Sans MT" w:hAnsi="Gill Sans MT"/>
                <w:bCs/>
                <w:lang w:eastAsia="ar-SA"/>
              </w:rPr>
              <w:t>rijavitelj/partner JLS</w:t>
            </w:r>
            <w:r>
              <w:rPr>
                <w:rFonts w:ascii="Gill Sans MT" w:hAnsi="Gill Sans MT"/>
              </w:rPr>
              <w:t>)</w:t>
            </w:r>
          </w:p>
        </w:tc>
      </w:tr>
      <w:tr w:rsidR="00142B09" w:rsidRPr="00F67E5C" w14:paraId="00A6E732" w14:textId="77777777" w:rsidTr="00142B09">
        <w:trPr>
          <w:trHeight w:val="1202"/>
        </w:trPr>
        <w:tc>
          <w:tcPr>
            <w:cnfStyle w:val="001000000000" w:firstRow="0" w:lastRow="0" w:firstColumn="1" w:lastColumn="0" w:oddVBand="0" w:evenVBand="0" w:oddHBand="0" w:evenHBand="0" w:firstRowFirstColumn="0" w:firstRowLastColumn="0" w:lastRowFirstColumn="0" w:lastRowLastColumn="0"/>
            <w:tcW w:w="1891" w:type="pct"/>
          </w:tcPr>
          <w:p w14:paraId="06A58BCE" w14:textId="77777777" w:rsidR="00142B09" w:rsidRPr="00F67E5C" w:rsidRDefault="00142B09" w:rsidP="00FF2DC1">
            <w:pPr>
              <w:rPr>
                <w:rFonts w:ascii="Gill Sans MT" w:hAnsi="Gill Sans MT"/>
              </w:rPr>
            </w:pPr>
            <w:r w:rsidRPr="00F67E5C">
              <w:rPr>
                <w:rFonts w:ascii="Gill Sans MT" w:hAnsi="Gill Sans MT"/>
              </w:rPr>
              <w:t>Popratna dokumentacija za utvrđivanje prihvatljivosti projekta (kriterij spremnosti za realizaciju)</w:t>
            </w:r>
          </w:p>
        </w:tc>
        <w:tc>
          <w:tcPr>
            <w:tcW w:w="1094" w:type="pct"/>
          </w:tcPr>
          <w:p w14:paraId="17F11AE8" w14:textId="77777777" w:rsidR="00142B09" w:rsidRPr="00F67E5C" w:rsidRDefault="00142B09" w:rsidP="00FF2DC1">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sidRPr="00F67E5C">
              <w:rPr>
                <w:rFonts w:ascii="Gill Sans MT" w:hAnsi="Gill Sans MT"/>
                <w:noProof/>
              </w:rPr>
              <w:t>da (ovisno što je primjenjivo)</w:t>
            </w:r>
          </w:p>
        </w:tc>
        <w:tc>
          <w:tcPr>
            <w:tcW w:w="2015" w:type="pct"/>
          </w:tcPr>
          <w:p w14:paraId="17A1EB2F" w14:textId="77777777" w:rsidR="00142B09" w:rsidRPr="00F67E5C" w:rsidRDefault="00142B09" w:rsidP="00FF2DC1">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Ovisno o </w:t>
            </w:r>
            <w:r>
              <w:rPr>
                <w:rFonts w:ascii="Gill Sans MT" w:hAnsi="Gill Sans MT"/>
              </w:rPr>
              <w:t>vrsti zahvata</w:t>
            </w:r>
            <w:r w:rsidRPr="00F67E5C">
              <w:rPr>
                <w:rFonts w:ascii="Gill Sans MT" w:hAnsi="Gill Sans MT"/>
              </w:rPr>
              <w:t>:</w:t>
            </w:r>
          </w:p>
          <w:p w14:paraId="39C826B1" w14:textId="77777777" w:rsidR="00142B09" w:rsidRPr="00F67E5C" w:rsidRDefault="00142B09" w:rsidP="00142B09">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Lokacijska dozvola s otisnutom klauzulom pravomoćnosti </w:t>
            </w:r>
          </w:p>
          <w:p w14:paraId="4E812C1E" w14:textId="77777777" w:rsidR="00142B09" w:rsidRPr="00F67E5C" w:rsidRDefault="00142B09" w:rsidP="00142B09">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Dokaz pravnog interesa za </w:t>
            </w:r>
            <w:r>
              <w:rPr>
                <w:rFonts w:ascii="Gill Sans MT" w:hAnsi="Gill Sans MT"/>
              </w:rPr>
              <w:t>građenje</w:t>
            </w:r>
            <w:r w:rsidRPr="00F67E5C">
              <w:rPr>
                <w:rFonts w:ascii="Gill Sans MT" w:hAnsi="Gill Sans MT"/>
              </w:rPr>
              <w:t xml:space="preserve"> u smislu članka 109. Zakona o gradnji </w:t>
            </w:r>
          </w:p>
          <w:p w14:paraId="4C86503E" w14:textId="77777777" w:rsidR="00142B09" w:rsidRPr="00F67E5C" w:rsidRDefault="00142B09" w:rsidP="00142B09">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Građevinska dozvola s otisnutom klauzulom pravomoćnosti </w:t>
            </w:r>
          </w:p>
          <w:p w14:paraId="57C13017" w14:textId="77777777" w:rsidR="00142B09" w:rsidRDefault="00142B09" w:rsidP="00142B09">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Glavni projekt </w:t>
            </w:r>
            <w:r>
              <w:rPr>
                <w:rFonts w:ascii="Gill Sans MT" w:hAnsi="Gill Sans MT"/>
              </w:rPr>
              <w:t>u skladu s</w:t>
            </w:r>
            <w:r w:rsidRPr="00F67E5C">
              <w:rPr>
                <w:rFonts w:ascii="Gill Sans MT" w:hAnsi="Gill Sans MT"/>
              </w:rPr>
              <w:t xml:space="preserve"> Pravilnikom o obveznom sadržaju i opremanju projekata građevine </w:t>
            </w:r>
          </w:p>
          <w:p w14:paraId="295ECCD5" w14:textId="029C8B5B" w:rsidR="00142B09" w:rsidRPr="00F67E5C" w:rsidRDefault="00142B09" w:rsidP="00142B09">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Dokumentacija za nabavu radova </w:t>
            </w:r>
          </w:p>
          <w:p w14:paraId="34E4BF20" w14:textId="77777777" w:rsidR="00142B09" w:rsidRPr="00F67E5C" w:rsidRDefault="00142B09" w:rsidP="00142B09">
            <w:pPr>
              <w:pStyle w:val="Default"/>
              <w:numPr>
                <w:ilvl w:val="0"/>
                <w:numId w:val="19"/>
              </w:numPr>
              <w:spacing w:before="60" w:after="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F67E5C">
              <w:rPr>
                <w:rFonts w:ascii="Gill Sans MT" w:hAnsi="Gill Sans MT"/>
                <w:sz w:val="20"/>
                <w:szCs w:val="20"/>
              </w:rPr>
              <w:t>(</w:t>
            </w:r>
            <w:r w:rsidRPr="00F67E5C">
              <w:rPr>
                <w:rFonts w:ascii="Gill Sans MT" w:hAnsi="Gill Sans MT"/>
                <w:i/>
                <w:sz w:val="20"/>
                <w:szCs w:val="20"/>
              </w:rPr>
              <w:t xml:space="preserve">u slučaju da je prošao rok od </w:t>
            </w:r>
            <w:r>
              <w:rPr>
                <w:rFonts w:ascii="Gill Sans MT" w:hAnsi="Gill Sans MT"/>
                <w:i/>
                <w:sz w:val="20"/>
                <w:szCs w:val="20"/>
              </w:rPr>
              <w:t>3</w:t>
            </w:r>
            <w:r w:rsidRPr="00F67E5C">
              <w:rPr>
                <w:rFonts w:ascii="Gill Sans MT" w:hAnsi="Gill Sans MT"/>
                <w:i/>
                <w:sz w:val="20"/>
                <w:szCs w:val="20"/>
              </w:rPr>
              <w:t xml:space="preserve">godine od izdavanja potvrde glavnog projekta i/ili akta kojim se produljuje važenje potvrde glavnog projekta potrebno je priložiti dokaz o prijavi početka </w:t>
            </w:r>
            <w:r>
              <w:rPr>
                <w:rFonts w:ascii="Gill Sans MT" w:hAnsi="Gill Sans MT"/>
                <w:i/>
                <w:sz w:val="20"/>
                <w:szCs w:val="20"/>
              </w:rPr>
              <w:t>građenja</w:t>
            </w:r>
            <w:r w:rsidRPr="00F67E5C">
              <w:rPr>
                <w:rFonts w:ascii="Gill Sans MT" w:hAnsi="Gill Sans MT"/>
                <w:i/>
                <w:sz w:val="20"/>
                <w:szCs w:val="20"/>
              </w:rPr>
              <w:t xml:space="preserve"> u obliku Obavijesti o prijavi početka građenja nadležnog upravnog tijela</w:t>
            </w:r>
            <w:r w:rsidRPr="00F67E5C">
              <w:rPr>
                <w:rFonts w:ascii="Gill Sans MT" w:hAnsi="Gill Sans MT"/>
                <w:sz w:val="20"/>
                <w:szCs w:val="20"/>
              </w:rPr>
              <w:t>)</w:t>
            </w:r>
          </w:p>
          <w:p w14:paraId="46850DDC" w14:textId="77777777" w:rsidR="00142B09" w:rsidRPr="00F67E5C" w:rsidRDefault="00142B09" w:rsidP="00142B09">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Potvrda nadležnog konzervat</w:t>
            </w:r>
            <w:r>
              <w:rPr>
                <w:rFonts w:ascii="Gill Sans MT" w:hAnsi="Gill Sans MT"/>
              </w:rPr>
              <w:t>o</w:t>
            </w:r>
            <w:r w:rsidRPr="00F67E5C">
              <w:rPr>
                <w:rFonts w:ascii="Gill Sans MT" w:hAnsi="Gill Sans MT"/>
              </w:rPr>
              <w:t>rskog odjela Ministarstva kulture (ako je primjenjivo)</w:t>
            </w:r>
          </w:p>
          <w:p w14:paraId="79718596" w14:textId="77777777" w:rsidR="00142B09" w:rsidRPr="00F67E5C" w:rsidRDefault="00142B09" w:rsidP="00142B09">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lastRenderedPageBreak/>
              <w:t xml:space="preserve">Rješenje o ocjeni o potrebi procjene </w:t>
            </w:r>
            <w:r w:rsidRPr="00F67E5C">
              <w:rPr>
                <w:rFonts w:ascii="MS Mincho" w:eastAsia="MS Mincho" w:hAnsi="MS Mincho" w:cs="MS Mincho"/>
              </w:rPr>
              <w:t> </w:t>
            </w:r>
            <w:r w:rsidRPr="00F67E5C">
              <w:rPr>
                <w:rFonts w:ascii="Gill Sans MT" w:hAnsi="Gill Sans MT"/>
              </w:rPr>
              <w:t xml:space="preserve">utjecaja na okoliš (ako je provedena Ocjena te ukoliko nije ishođena građevinska dozvola) </w:t>
            </w:r>
            <w:r w:rsidRPr="00F67E5C">
              <w:rPr>
                <w:rFonts w:ascii="MS Mincho" w:eastAsia="MS Mincho" w:hAnsi="MS Mincho" w:cs="MS Mincho"/>
              </w:rPr>
              <w:t> </w:t>
            </w:r>
          </w:p>
          <w:p w14:paraId="131ED570" w14:textId="77777777" w:rsidR="00142B09" w:rsidRPr="00F67E5C" w:rsidRDefault="00142B09" w:rsidP="00142B09">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Rješenje o provedenom postupku procjene utjecaja na okoliš zajedno s </w:t>
            </w:r>
            <w:proofErr w:type="spellStart"/>
            <w:r w:rsidRPr="00F67E5C">
              <w:rPr>
                <w:rFonts w:ascii="Gill Sans MT" w:hAnsi="Gill Sans MT"/>
              </w:rPr>
              <w:t>netehničkim</w:t>
            </w:r>
            <w:proofErr w:type="spellEnd"/>
            <w:r w:rsidRPr="00F67E5C">
              <w:rPr>
                <w:rFonts w:ascii="Gill Sans MT" w:hAnsi="Gill Sans MT"/>
              </w:rPr>
              <w:t xml:space="preserve"> sažetkom (ako je proveden postupak te ukoliko nije ishođena građevinska dozvola) </w:t>
            </w:r>
            <w:r w:rsidRPr="00F67E5C">
              <w:rPr>
                <w:rFonts w:ascii="MS Mincho" w:eastAsia="MS Mincho" w:hAnsi="MS Mincho" w:cs="MS Mincho"/>
              </w:rPr>
              <w:t> </w:t>
            </w:r>
          </w:p>
          <w:p w14:paraId="20EEEC9A" w14:textId="77777777" w:rsidR="00142B09" w:rsidRPr="00F67E5C" w:rsidRDefault="00142B09" w:rsidP="00142B09">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Akt izdan od strane nadležnog tijela za provođenje postupka ocjene prihvatljivosti za ekološku mrežu (OPEM) prema odredbama Zakona o zaštiti prirode (ako nije dio Rješenja o provedenom postupku procjene utjecaja na okoliš ili Rješenja o ocjeni o potrebi procjene utjecaja na okoliš; potrebno dostaviti u svim </w:t>
            </w:r>
            <w:proofErr w:type="spellStart"/>
            <w:r w:rsidRPr="00F67E5C">
              <w:rPr>
                <w:rFonts w:ascii="Gill Sans MT" w:hAnsi="Gill Sans MT"/>
              </w:rPr>
              <w:t>sluc</w:t>
            </w:r>
            <w:r w:rsidRPr="00F67E5C">
              <w:rPr>
                <w:rFonts w:ascii="Calibri" w:eastAsia="Calibri" w:hAnsi="Calibri" w:cs="Calibri"/>
              </w:rPr>
              <w:t>̌</w:t>
            </w:r>
            <w:r w:rsidRPr="00F67E5C">
              <w:rPr>
                <w:rFonts w:ascii="Gill Sans MT" w:hAnsi="Gill Sans MT"/>
              </w:rPr>
              <w:t>ajevima</w:t>
            </w:r>
            <w:proofErr w:type="spellEnd"/>
            <w:r w:rsidRPr="00F67E5C">
              <w:rPr>
                <w:rFonts w:ascii="Gill Sans MT" w:hAnsi="Gill Sans MT"/>
              </w:rPr>
              <w:t xml:space="preserve"> neovisno o eventualno ishođenim dozvolama, s obzirom da akt služi za verifikaciju kriterija prihvatljivosti projekta vezanog uz mjere za pra</w:t>
            </w:r>
            <w:r w:rsidRPr="00F67E5C">
              <w:rPr>
                <w:rFonts w:ascii="Gill Sans MT" w:eastAsia="Calibri" w:hAnsi="Gill Sans MT" w:cs="Calibri"/>
              </w:rPr>
              <w:t>ć</w:t>
            </w:r>
            <w:r w:rsidRPr="00F67E5C">
              <w:rPr>
                <w:rFonts w:ascii="Gill Sans MT" w:hAnsi="Gill Sans MT"/>
              </w:rPr>
              <w:t xml:space="preserve">enje ciljnih vrsta i staništa) </w:t>
            </w:r>
            <w:r w:rsidRPr="00F67E5C">
              <w:rPr>
                <w:rFonts w:ascii="MS Mincho" w:eastAsia="MS Mincho" w:hAnsi="MS Mincho" w:cs="MS Mincho"/>
              </w:rPr>
              <w:t> </w:t>
            </w:r>
          </w:p>
          <w:p w14:paraId="08F78B4B" w14:textId="77777777" w:rsidR="00142B09" w:rsidRPr="00F67E5C" w:rsidRDefault="00142B09" w:rsidP="00142B09">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Važeće rješenje nadležnog tijela za jednostavne građevine (sukladno </w:t>
            </w:r>
            <w:proofErr w:type="spellStart"/>
            <w:r w:rsidRPr="00F67E5C">
              <w:rPr>
                <w:rFonts w:ascii="Gill Sans MT" w:hAnsi="Gill Sans MT"/>
              </w:rPr>
              <w:t>c</w:t>
            </w:r>
            <w:r w:rsidRPr="00F67E5C">
              <w:rPr>
                <w:rFonts w:ascii="Calibri" w:eastAsia="Calibri" w:hAnsi="Calibri" w:cs="Calibri"/>
              </w:rPr>
              <w:t>̌</w:t>
            </w:r>
            <w:r w:rsidRPr="00F67E5C">
              <w:rPr>
                <w:rFonts w:ascii="Gill Sans MT" w:hAnsi="Gill Sans MT"/>
              </w:rPr>
              <w:t>lanku</w:t>
            </w:r>
            <w:proofErr w:type="spellEnd"/>
            <w:r w:rsidRPr="00F67E5C">
              <w:rPr>
                <w:rFonts w:ascii="Gill Sans MT" w:hAnsi="Gill Sans MT"/>
              </w:rPr>
              <w:t xml:space="preserve"> 143. i 144. Zakona o zaštiti prirode) </w:t>
            </w:r>
            <w:r w:rsidRPr="00F67E5C">
              <w:rPr>
                <w:rFonts w:ascii="MS Mincho" w:eastAsia="MS Mincho" w:hAnsi="MS Mincho" w:cs="MS Mincho"/>
              </w:rPr>
              <w:t> </w:t>
            </w:r>
          </w:p>
          <w:p w14:paraId="1BA76A54" w14:textId="77777777" w:rsidR="00142B09" w:rsidRPr="00F67E5C" w:rsidRDefault="00142B09" w:rsidP="00142B09">
            <w:pPr>
              <w:pStyle w:val="Default"/>
              <w:numPr>
                <w:ilvl w:val="0"/>
                <w:numId w:val="19"/>
              </w:numPr>
              <w:spacing w:before="60" w:after="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F67E5C">
              <w:rPr>
                <w:rFonts w:ascii="Gill Sans MT" w:hAnsi="Gill Sans MT"/>
                <w:sz w:val="20"/>
                <w:szCs w:val="20"/>
              </w:rPr>
              <w:t>Relevantne suglasnosti predviđene Zakonom (ako su primjenjive imajući u vidu opis konkretnih projekata)</w:t>
            </w:r>
          </w:p>
        </w:tc>
      </w:tr>
      <w:tr w:rsidR="00142B09" w:rsidRPr="00F67E5C" w14:paraId="657E7375" w14:textId="77777777" w:rsidTr="00142B09">
        <w:trPr>
          <w:trHeight w:val="1202"/>
        </w:trPr>
        <w:tc>
          <w:tcPr>
            <w:cnfStyle w:val="001000000000" w:firstRow="0" w:lastRow="0" w:firstColumn="1" w:lastColumn="0" w:oddVBand="0" w:evenVBand="0" w:oddHBand="0" w:evenHBand="0" w:firstRowFirstColumn="0" w:firstRowLastColumn="0" w:lastRowFirstColumn="0" w:lastRowLastColumn="0"/>
            <w:tcW w:w="1891" w:type="pct"/>
          </w:tcPr>
          <w:p w14:paraId="1E001201" w14:textId="77777777" w:rsidR="00142B09" w:rsidRPr="00F67E5C" w:rsidRDefault="00142B09" w:rsidP="00FF2DC1">
            <w:pPr>
              <w:rPr>
                <w:rFonts w:ascii="Gill Sans MT" w:hAnsi="Gill Sans MT"/>
                <w:b w:val="0"/>
                <w:bCs w:val="0"/>
                <w:noProof/>
                <w:lang w:eastAsia="ar-SA"/>
              </w:rPr>
            </w:pPr>
            <w:r w:rsidRPr="00F67E5C">
              <w:rPr>
                <w:rFonts w:ascii="Gill Sans MT" w:hAnsi="Gill Sans MT"/>
              </w:rPr>
              <w:lastRenderedPageBreak/>
              <w:t xml:space="preserve">Popratna dokumentacija za utvrđivanje prihvatljivosti troškova prijavitelja i partnera </w:t>
            </w:r>
          </w:p>
        </w:tc>
        <w:tc>
          <w:tcPr>
            <w:tcW w:w="1094" w:type="pct"/>
          </w:tcPr>
          <w:p w14:paraId="03BF639F" w14:textId="5AF3F5D3" w:rsidR="00142B09" w:rsidRPr="00F67E5C" w:rsidRDefault="003601E3" w:rsidP="00FF2DC1">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sidRPr="00F67E5C">
              <w:rPr>
                <w:rFonts w:ascii="Gill Sans MT" w:hAnsi="Gill Sans MT"/>
                <w:noProof/>
              </w:rPr>
              <w:t>D</w:t>
            </w:r>
            <w:r w:rsidR="00142B09" w:rsidRPr="00F67E5C">
              <w:rPr>
                <w:rFonts w:ascii="Gill Sans MT" w:hAnsi="Gill Sans MT"/>
                <w:noProof/>
              </w:rPr>
              <w:t>a</w:t>
            </w:r>
            <w:r>
              <w:rPr>
                <w:rFonts w:ascii="Gill Sans MT" w:hAnsi="Gill Sans MT"/>
                <w:noProof/>
              </w:rPr>
              <w:t>,</w:t>
            </w:r>
            <w:r w:rsidR="00142B09" w:rsidRPr="00F00A96">
              <w:rPr>
                <w:rFonts w:ascii="Gill Sans MT" w:hAnsi="Gill Sans MT"/>
              </w:rPr>
              <w:t xml:space="preserve"> ako se potražuju troškovi osoblja</w:t>
            </w:r>
          </w:p>
        </w:tc>
        <w:tc>
          <w:tcPr>
            <w:tcW w:w="2015" w:type="pct"/>
          </w:tcPr>
          <w:p w14:paraId="605D6CAA" w14:textId="77777777" w:rsidR="00142B09" w:rsidRPr="00F67E5C" w:rsidRDefault="00142B09" w:rsidP="00142B09">
            <w:pPr>
              <w:pStyle w:val="ListParagraph"/>
              <w:numPr>
                <w:ilvl w:val="0"/>
                <w:numId w:val="20"/>
              </w:numPr>
              <w:spacing w:before="60" w:after="6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Akt/i o unutarnjem ustrojstvu ili organizacijsku shemu institucije s posebno označenim organizacijskim jedinicama i radnim mjestima zaposlenika/djelatnika koji sudjeluju u provedbi projekta </w:t>
            </w:r>
          </w:p>
          <w:p w14:paraId="7B1EAA28" w14:textId="77777777" w:rsidR="00142B09" w:rsidRPr="00F67E5C" w:rsidRDefault="00142B09" w:rsidP="00142B09">
            <w:pPr>
              <w:pStyle w:val="ListParagraph"/>
              <w:numPr>
                <w:ilvl w:val="0"/>
                <w:numId w:val="20"/>
              </w:numPr>
              <w:spacing w:before="60" w:after="6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Dokumenti (akt) temeljem kojih se utvrđuje iznos bruto plaće za radno mjesto djelatnika – člana projektnog tima </w:t>
            </w:r>
          </w:p>
          <w:p w14:paraId="6272B45E" w14:textId="62C809C3" w:rsidR="00142B09" w:rsidRPr="00F67E5C" w:rsidRDefault="00142B09" w:rsidP="00142B09">
            <w:pPr>
              <w:pStyle w:val="ListParagraph"/>
              <w:numPr>
                <w:ilvl w:val="0"/>
                <w:numId w:val="20"/>
              </w:numPr>
              <w:spacing w:before="60" w:after="6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Gill Sans MT" w:eastAsiaTheme="minorHAnsi" w:hAnsi="Gill Sans MT"/>
                <w:lang w:eastAsia="en-US"/>
              </w:rPr>
            </w:pPr>
            <w:r w:rsidRPr="00F67E5C">
              <w:rPr>
                <w:rFonts w:ascii="Gill Sans MT" w:hAnsi="Gill Sans MT"/>
              </w:rPr>
              <w:t>Dokaz o isplaćenim plaćama za razdoblje od 12</w:t>
            </w:r>
            <w:r w:rsidR="00760CE1">
              <w:rPr>
                <w:rFonts w:ascii="Gill Sans MT" w:hAnsi="Gill Sans MT"/>
              </w:rPr>
              <w:t xml:space="preserve"> uzastopnih</w:t>
            </w:r>
            <w:r w:rsidRPr="00F67E5C">
              <w:rPr>
                <w:rFonts w:ascii="Gill Sans MT" w:hAnsi="Gill Sans MT"/>
              </w:rPr>
              <w:t xml:space="preserve"> mjeseci koje prethode datumu podnošenja projektne prijave za djelatnika i/ili za djelatnika na istom ili sličnom </w:t>
            </w:r>
            <w:r w:rsidRPr="00F67E5C">
              <w:rPr>
                <w:rFonts w:ascii="Gill Sans MT" w:hAnsi="Gill Sans MT"/>
              </w:rPr>
              <w:lastRenderedPageBreak/>
              <w:t xml:space="preserve">radnom mjestu </w:t>
            </w:r>
            <w:r w:rsidR="00760CE1">
              <w:rPr>
                <w:rFonts w:ascii="Gill Sans MT" w:hAnsi="Gill Sans MT"/>
              </w:rPr>
              <w:t>(sukladno</w:t>
            </w:r>
            <w:r w:rsidRPr="00F67E5C">
              <w:rPr>
                <w:rFonts w:ascii="Gill Sans MT" w:hAnsi="Gill Sans MT"/>
              </w:rPr>
              <w:t xml:space="preserve"> </w:t>
            </w:r>
            <w:proofErr w:type="spellStart"/>
            <w:r w:rsidRPr="00F67E5C">
              <w:rPr>
                <w:rFonts w:ascii="Gill Sans MT" w:hAnsi="Gill Sans MT"/>
              </w:rPr>
              <w:t>UzP</w:t>
            </w:r>
            <w:proofErr w:type="spellEnd"/>
            <w:r w:rsidRPr="00F67E5C">
              <w:rPr>
                <w:rFonts w:ascii="Gill Sans MT" w:hAnsi="Gill Sans MT"/>
              </w:rPr>
              <w:t>, točka 2.9.1.</w:t>
            </w:r>
            <w:r w:rsidR="00760CE1">
              <w:rPr>
                <w:rFonts w:ascii="Gill Sans MT" w:hAnsi="Gill Sans MT"/>
              </w:rPr>
              <w:t>)</w:t>
            </w:r>
          </w:p>
        </w:tc>
      </w:tr>
      <w:tr w:rsidR="00142B09" w:rsidRPr="00F67E5C" w14:paraId="33B946F0" w14:textId="77777777" w:rsidTr="00142B09">
        <w:trPr>
          <w:trHeight w:val="1202"/>
        </w:trPr>
        <w:tc>
          <w:tcPr>
            <w:cnfStyle w:val="001000000000" w:firstRow="0" w:lastRow="0" w:firstColumn="1" w:lastColumn="0" w:oddVBand="0" w:evenVBand="0" w:oddHBand="0" w:evenHBand="0" w:firstRowFirstColumn="0" w:firstRowLastColumn="0" w:lastRowFirstColumn="0" w:lastRowLastColumn="0"/>
            <w:tcW w:w="1891" w:type="pct"/>
          </w:tcPr>
          <w:p w14:paraId="3F202C44" w14:textId="77777777" w:rsidR="00142B09" w:rsidRPr="00F67E5C" w:rsidRDefault="00142B09" w:rsidP="00FF2DC1">
            <w:pPr>
              <w:rPr>
                <w:rFonts w:ascii="Gill Sans MT" w:hAnsi="Gill Sans MT"/>
                <w:b w:val="0"/>
                <w:bCs w:val="0"/>
                <w:noProof/>
                <w:lang w:eastAsia="ar-SA"/>
              </w:rPr>
            </w:pPr>
            <w:r w:rsidRPr="00F67E5C">
              <w:rPr>
                <w:rFonts w:ascii="Gill Sans MT" w:hAnsi="Gill Sans MT"/>
              </w:rPr>
              <w:lastRenderedPageBreak/>
              <w:t>Popratni dokumenti za ocjenu kvalitete projektne prijave</w:t>
            </w:r>
          </w:p>
        </w:tc>
        <w:tc>
          <w:tcPr>
            <w:tcW w:w="1094" w:type="pct"/>
          </w:tcPr>
          <w:p w14:paraId="504F0199" w14:textId="77777777" w:rsidR="00142B09" w:rsidRPr="00F67E5C" w:rsidRDefault="00142B09" w:rsidP="00FF2DC1">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sidRPr="00F67E5C">
              <w:rPr>
                <w:rFonts w:ascii="Gill Sans MT" w:hAnsi="Gill Sans MT"/>
                <w:noProof/>
              </w:rPr>
              <w:t>da</w:t>
            </w:r>
          </w:p>
        </w:tc>
        <w:tc>
          <w:tcPr>
            <w:tcW w:w="2015" w:type="pct"/>
          </w:tcPr>
          <w:p w14:paraId="01FD1CB5" w14:textId="77777777" w:rsidR="00142B09" w:rsidRPr="00F67E5C" w:rsidRDefault="00142B09" w:rsidP="00142B09">
            <w:pPr>
              <w:pStyle w:val="ListParagraph"/>
              <w:numPr>
                <w:ilvl w:val="0"/>
                <w:numId w:val="6"/>
              </w:numPr>
              <w:spacing w:before="120" w:after="120"/>
              <w:ind w:left="360"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b/>
              </w:rPr>
              <w:t xml:space="preserve">Projektni obrazac iz IP-a </w:t>
            </w:r>
            <w:r w:rsidRPr="00F67E5C">
              <w:rPr>
                <w:rFonts w:ascii="Gill Sans MT" w:hAnsi="Gill Sans MT"/>
              </w:rPr>
              <w:t>(opis projekta čija se priprema predlaže predmetnom prijavom)</w:t>
            </w:r>
          </w:p>
          <w:p w14:paraId="7F0C32E4" w14:textId="77777777" w:rsidR="00142B09" w:rsidRPr="00760CE1" w:rsidRDefault="00142B09" w:rsidP="00142B09">
            <w:pPr>
              <w:pStyle w:val="ListParagraph"/>
              <w:numPr>
                <w:ilvl w:val="0"/>
                <w:numId w:val="6"/>
              </w:numPr>
              <w:spacing w:before="120" w:after="120"/>
              <w:ind w:left="360"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b/>
              </w:rPr>
              <w:t xml:space="preserve">Životopisi članova projektnog tima </w:t>
            </w:r>
            <w:r w:rsidRPr="00F67E5C">
              <w:rPr>
                <w:rFonts w:ascii="Gill Sans MT" w:hAnsi="Gill Sans MT"/>
                <w:b/>
                <w:bCs/>
                <w:lang w:eastAsia="ar-SA"/>
              </w:rPr>
              <w:t>ili opis posla</w:t>
            </w:r>
            <w:r w:rsidRPr="00F67E5C">
              <w:rPr>
                <w:rFonts w:ascii="Gill Sans MT" w:hAnsi="Gill Sans MT"/>
                <w:bCs/>
                <w:lang w:eastAsia="ar-SA"/>
              </w:rPr>
              <w:t xml:space="preserve"> za nabavu usluge upravljanja projektom ili novo zapošljavanje koji sadrži tražene kvalifikacije stručnjaka</w:t>
            </w:r>
          </w:p>
          <w:p w14:paraId="6643023A" w14:textId="5F91D00F" w:rsidR="00760CE1" w:rsidRPr="00F67E5C" w:rsidRDefault="00760CE1" w:rsidP="00142B09">
            <w:pPr>
              <w:pStyle w:val="ListParagraph"/>
              <w:numPr>
                <w:ilvl w:val="0"/>
                <w:numId w:val="6"/>
              </w:numPr>
              <w:spacing w:before="120" w:after="120"/>
              <w:ind w:left="360"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760CE1">
              <w:rPr>
                <w:rFonts w:ascii="Gill Sans MT" w:hAnsi="Gill Sans MT"/>
                <w:b/>
              </w:rPr>
              <w:t>Studija izvedivosti / analiza troškova i koristi (ako postoji)</w:t>
            </w:r>
          </w:p>
        </w:tc>
      </w:tr>
    </w:tbl>
    <w:p w14:paraId="65E323D3" w14:textId="77777777" w:rsidR="00142B09" w:rsidRDefault="00142B09" w:rsidP="00FC5CEB">
      <w:pPr>
        <w:spacing w:line="200" w:lineRule="exact"/>
        <w:rPr>
          <w:rFonts w:ascii="Gill Sans MT" w:eastAsia="Times New Roman" w:hAnsi="Gill Sans MT" w:cstheme="minorHAnsi"/>
          <w:szCs w:val="32"/>
          <w:lang w:eastAsia="en-US"/>
        </w:rPr>
      </w:pPr>
    </w:p>
    <w:p w14:paraId="55E25029" w14:textId="77777777" w:rsidR="00142B09" w:rsidRDefault="00142B09" w:rsidP="00FC5CEB">
      <w:pPr>
        <w:spacing w:line="200" w:lineRule="exact"/>
        <w:rPr>
          <w:rFonts w:ascii="Gill Sans MT" w:eastAsia="Times New Roman" w:hAnsi="Gill Sans MT" w:cstheme="minorHAnsi"/>
          <w:szCs w:val="32"/>
          <w:lang w:eastAsia="en-US"/>
        </w:rPr>
      </w:pPr>
    </w:p>
    <w:p w14:paraId="662A0E0F" w14:textId="77777777" w:rsidR="00142B09" w:rsidRDefault="00142B09" w:rsidP="00FC5CEB">
      <w:pPr>
        <w:spacing w:line="200" w:lineRule="exact"/>
        <w:rPr>
          <w:rFonts w:ascii="Gill Sans MT" w:eastAsia="Times New Roman" w:hAnsi="Gill Sans MT" w:cstheme="minorHAnsi"/>
          <w:szCs w:val="32"/>
          <w:lang w:eastAsia="en-US"/>
        </w:rPr>
      </w:pPr>
    </w:p>
    <w:p w14:paraId="766A3521" w14:textId="77777777" w:rsidR="00142B09" w:rsidRPr="00EB32F7" w:rsidRDefault="00142B09" w:rsidP="00FC5CEB">
      <w:pPr>
        <w:spacing w:line="200" w:lineRule="exact"/>
        <w:rPr>
          <w:rFonts w:ascii="Gill Sans MT" w:eastAsia="Times New Roman" w:hAnsi="Gill Sans MT" w:cstheme="minorHAnsi"/>
          <w:szCs w:val="32"/>
          <w:lang w:eastAsia="en-US"/>
        </w:rPr>
      </w:pPr>
    </w:p>
    <w:p w14:paraId="63853177" w14:textId="77777777" w:rsidR="0013525C" w:rsidRPr="00EB32F7" w:rsidRDefault="0013525C" w:rsidP="00FC5CEB">
      <w:pPr>
        <w:spacing w:line="200" w:lineRule="exact"/>
        <w:rPr>
          <w:rFonts w:ascii="Gill Sans MT" w:eastAsia="Times New Roman" w:hAnsi="Gill Sans MT" w:cstheme="minorHAnsi"/>
          <w:szCs w:val="32"/>
          <w:lang w:eastAsia="en-US"/>
        </w:rPr>
      </w:pPr>
    </w:p>
    <w:p w14:paraId="07C79373" w14:textId="77777777" w:rsidR="0013525C" w:rsidRPr="00EB32F7" w:rsidRDefault="0013525C" w:rsidP="00FC5CEB">
      <w:pPr>
        <w:spacing w:line="200" w:lineRule="exact"/>
        <w:rPr>
          <w:rFonts w:ascii="Gill Sans MT" w:eastAsia="Times New Roman" w:hAnsi="Gill Sans MT" w:cstheme="minorHAnsi"/>
          <w:szCs w:val="32"/>
          <w:lang w:eastAsia="en-US"/>
        </w:rPr>
      </w:pPr>
    </w:p>
    <w:p w14:paraId="0E7067DD" w14:textId="77777777" w:rsidR="0013525C" w:rsidRPr="00EB32F7" w:rsidRDefault="0013525C" w:rsidP="00FC5CEB">
      <w:pPr>
        <w:spacing w:line="200" w:lineRule="exact"/>
        <w:rPr>
          <w:rFonts w:ascii="Gill Sans MT" w:eastAsia="Times New Roman" w:hAnsi="Gill Sans MT" w:cstheme="minorHAnsi"/>
          <w:szCs w:val="32"/>
          <w:lang w:eastAsia="en-US"/>
        </w:rPr>
      </w:pPr>
    </w:p>
    <w:p w14:paraId="094D4EE6" w14:textId="77777777" w:rsidR="0062170F" w:rsidRPr="00EB32F7" w:rsidRDefault="0062170F" w:rsidP="00FC5CEB">
      <w:pPr>
        <w:spacing w:line="200" w:lineRule="exact"/>
        <w:rPr>
          <w:rFonts w:ascii="Gill Sans MT" w:eastAsia="Times New Roman" w:hAnsi="Gill Sans MT" w:cstheme="minorHAnsi"/>
          <w:szCs w:val="32"/>
          <w:lang w:eastAsia="en-US"/>
        </w:rPr>
      </w:pPr>
    </w:p>
    <w:p w14:paraId="75D87736" w14:textId="77777777" w:rsidR="002041EC" w:rsidRPr="00EB32F7" w:rsidRDefault="002041EC" w:rsidP="002041EC">
      <w:pPr>
        <w:rPr>
          <w:rFonts w:ascii="Gill Sans MT" w:hAnsi="Gill Sans MT"/>
        </w:rPr>
      </w:pPr>
    </w:p>
    <w:p w14:paraId="0C625286" w14:textId="77777777" w:rsidR="00EA17C2" w:rsidRPr="00EB32F7" w:rsidRDefault="00EA17C2" w:rsidP="00AE5B04">
      <w:pPr>
        <w:spacing w:line="200" w:lineRule="exact"/>
        <w:rPr>
          <w:rFonts w:ascii="Gill Sans MT" w:hAnsi="Gill Sans MT" w:cstheme="minorHAnsi"/>
        </w:rPr>
      </w:pPr>
    </w:p>
    <w:sectPr w:rsidR="00EA17C2" w:rsidRPr="00EB32F7" w:rsidSect="00B016E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AABAD" w14:textId="77777777" w:rsidR="006E4234" w:rsidRDefault="006E4234" w:rsidP="005B0573">
      <w:pPr>
        <w:spacing w:after="0" w:line="240" w:lineRule="auto"/>
      </w:pPr>
      <w:r>
        <w:separator/>
      </w:r>
    </w:p>
  </w:endnote>
  <w:endnote w:type="continuationSeparator" w:id="0">
    <w:p w14:paraId="27CA4172" w14:textId="77777777" w:rsidR="006E4234" w:rsidRDefault="006E4234"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ladaRHSans Lt">
    <w:altName w:val="Times New Roman"/>
    <w:panose1 w:val="00000000000000000000"/>
    <w:charset w:val="00"/>
    <w:family w:val="modern"/>
    <w:notTrueType/>
    <w:pitch w:val="variable"/>
    <w:sig w:usb0="A00000BF" w:usb1="5001E47B" w:usb2="00000000" w:usb3="00000000" w:csb0="00000093"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80453044"/>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0076610F" w14:textId="1E30775C" w:rsidR="00B2544C" w:rsidRPr="004B3CDC" w:rsidRDefault="00B2544C">
            <w:pPr>
              <w:pStyle w:val="Footer"/>
              <w:jc w:val="center"/>
              <w:rPr>
                <w:sz w:val="20"/>
                <w:szCs w:val="20"/>
              </w:rPr>
            </w:pPr>
            <w:r w:rsidRPr="004B3CDC">
              <w:rPr>
                <w:rFonts w:ascii="Lucida Sans Unicode" w:hAnsi="Lucida Sans Unicode" w:cs="Lucida Sans Unicode"/>
                <w:sz w:val="20"/>
                <w:szCs w:val="20"/>
              </w:rPr>
              <w:t xml:space="preserve">Stranica </w:t>
            </w:r>
            <w:r w:rsidR="00147163" w:rsidRPr="004B3CDC">
              <w:rPr>
                <w:rFonts w:ascii="Lucida Sans Unicode" w:hAnsi="Lucida Sans Unicode" w:cs="Lucida Sans Unicode"/>
                <w:b/>
                <w:bCs/>
                <w:sz w:val="20"/>
                <w:szCs w:val="20"/>
              </w:rPr>
              <w:fldChar w:fldCharType="begin"/>
            </w:r>
            <w:r w:rsidRPr="004B3CDC">
              <w:rPr>
                <w:rFonts w:ascii="Lucida Sans Unicode" w:hAnsi="Lucida Sans Unicode" w:cs="Lucida Sans Unicode"/>
                <w:b/>
                <w:bCs/>
                <w:sz w:val="20"/>
                <w:szCs w:val="20"/>
              </w:rPr>
              <w:instrText xml:space="preserve"> PAGE </w:instrText>
            </w:r>
            <w:r w:rsidR="00147163" w:rsidRPr="004B3CDC">
              <w:rPr>
                <w:rFonts w:ascii="Lucida Sans Unicode" w:hAnsi="Lucida Sans Unicode" w:cs="Lucida Sans Unicode"/>
                <w:b/>
                <w:bCs/>
                <w:sz w:val="20"/>
                <w:szCs w:val="20"/>
              </w:rPr>
              <w:fldChar w:fldCharType="separate"/>
            </w:r>
            <w:r w:rsidR="00651DFD">
              <w:rPr>
                <w:rFonts w:ascii="Lucida Sans Unicode" w:hAnsi="Lucida Sans Unicode" w:cs="Lucida Sans Unicode"/>
                <w:b/>
                <w:bCs/>
                <w:noProof/>
                <w:sz w:val="20"/>
                <w:szCs w:val="20"/>
              </w:rPr>
              <w:t>6</w:t>
            </w:r>
            <w:r w:rsidR="00147163" w:rsidRPr="004B3CDC">
              <w:rPr>
                <w:rFonts w:ascii="Lucida Sans Unicode" w:hAnsi="Lucida Sans Unicode" w:cs="Lucida Sans Unicode"/>
                <w:b/>
                <w:bCs/>
                <w:sz w:val="20"/>
                <w:szCs w:val="20"/>
              </w:rPr>
              <w:fldChar w:fldCharType="end"/>
            </w:r>
            <w:r w:rsidRPr="004B3CDC">
              <w:rPr>
                <w:rFonts w:ascii="Lucida Sans Unicode" w:hAnsi="Lucida Sans Unicode" w:cs="Lucida Sans Unicode"/>
                <w:sz w:val="20"/>
                <w:szCs w:val="20"/>
              </w:rPr>
              <w:t xml:space="preserve"> od </w:t>
            </w:r>
            <w:r w:rsidR="00147163" w:rsidRPr="004B3CDC">
              <w:rPr>
                <w:rFonts w:ascii="Lucida Sans Unicode" w:hAnsi="Lucida Sans Unicode" w:cs="Lucida Sans Unicode"/>
                <w:b/>
                <w:bCs/>
                <w:sz w:val="20"/>
                <w:szCs w:val="20"/>
              </w:rPr>
              <w:fldChar w:fldCharType="begin"/>
            </w:r>
            <w:r w:rsidRPr="004B3CDC">
              <w:rPr>
                <w:rFonts w:ascii="Lucida Sans Unicode" w:hAnsi="Lucida Sans Unicode" w:cs="Lucida Sans Unicode"/>
                <w:b/>
                <w:bCs/>
                <w:sz w:val="20"/>
                <w:szCs w:val="20"/>
              </w:rPr>
              <w:instrText xml:space="preserve"> NUMPAGES  </w:instrText>
            </w:r>
            <w:r w:rsidR="00147163" w:rsidRPr="004B3CDC">
              <w:rPr>
                <w:rFonts w:ascii="Lucida Sans Unicode" w:hAnsi="Lucida Sans Unicode" w:cs="Lucida Sans Unicode"/>
                <w:b/>
                <w:bCs/>
                <w:sz w:val="20"/>
                <w:szCs w:val="20"/>
              </w:rPr>
              <w:fldChar w:fldCharType="separate"/>
            </w:r>
            <w:r w:rsidR="00651DFD">
              <w:rPr>
                <w:rFonts w:ascii="Lucida Sans Unicode" w:hAnsi="Lucida Sans Unicode" w:cs="Lucida Sans Unicode"/>
                <w:b/>
                <w:bCs/>
                <w:noProof/>
                <w:sz w:val="20"/>
                <w:szCs w:val="20"/>
              </w:rPr>
              <w:t>7</w:t>
            </w:r>
            <w:r w:rsidR="00147163" w:rsidRPr="004B3CDC">
              <w:rPr>
                <w:rFonts w:ascii="Lucida Sans Unicode" w:hAnsi="Lucida Sans Unicode" w:cs="Lucida Sans Unicode"/>
                <w:b/>
                <w:bCs/>
                <w:sz w:val="20"/>
                <w:szCs w:val="20"/>
              </w:rPr>
              <w:fldChar w:fldCharType="end"/>
            </w:r>
          </w:p>
        </w:sdtContent>
      </w:sdt>
    </w:sdtContent>
  </w:sdt>
  <w:p w14:paraId="58762B21" w14:textId="77777777" w:rsidR="00B2544C" w:rsidRDefault="00B25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3279E" w14:textId="77777777" w:rsidR="006E4234" w:rsidRDefault="006E4234" w:rsidP="005B0573">
      <w:pPr>
        <w:spacing w:after="0" w:line="240" w:lineRule="auto"/>
      </w:pPr>
      <w:r>
        <w:separator/>
      </w:r>
    </w:p>
  </w:footnote>
  <w:footnote w:type="continuationSeparator" w:id="0">
    <w:p w14:paraId="69022AA3" w14:textId="77777777" w:rsidR="006E4234" w:rsidRDefault="006E4234" w:rsidP="005B0573">
      <w:pPr>
        <w:spacing w:after="0" w:line="240" w:lineRule="auto"/>
      </w:pPr>
      <w:r>
        <w:continuationSeparator/>
      </w:r>
    </w:p>
  </w:footnote>
  <w:footnote w:id="1">
    <w:p w14:paraId="45BBA02A" w14:textId="77777777" w:rsidR="00142B09" w:rsidRPr="00960DEF" w:rsidRDefault="00142B09" w:rsidP="00142B09">
      <w:pPr>
        <w:pStyle w:val="FootnoteText"/>
        <w:rPr>
          <w:sz w:val="16"/>
          <w:szCs w:val="16"/>
        </w:rPr>
      </w:pPr>
      <w:r w:rsidRPr="00960DEF">
        <w:rPr>
          <w:rStyle w:val="FootnoteReference"/>
          <w:sz w:val="16"/>
          <w:szCs w:val="16"/>
        </w:rPr>
        <w:footnoteRef/>
      </w:r>
      <w:r w:rsidRPr="00960DEF">
        <w:rPr>
          <w:sz w:val="16"/>
          <w:szCs w:val="16"/>
        </w:rPr>
        <w:t xml:space="preserve"> </w:t>
      </w:r>
      <w:hyperlink r:id="rId1" w:history="1">
        <w:r w:rsidRPr="00250FD8">
          <w:rPr>
            <w:rStyle w:val="Hyperlink"/>
            <w:sz w:val="16"/>
            <w:szCs w:val="16"/>
          </w:rPr>
          <w:t>https://sudreg.pravosudje.hr/registar/f?p=150:1</w:t>
        </w:r>
      </w:hyperlink>
    </w:p>
  </w:footnote>
  <w:footnote w:id="2">
    <w:p w14:paraId="49FC34E9" w14:textId="77777777" w:rsidR="00142B09" w:rsidRDefault="00142B09" w:rsidP="00142B09">
      <w:pPr>
        <w:pStyle w:val="FootnoteText"/>
      </w:pPr>
      <w:r>
        <w:rPr>
          <w:rStyle w:val="FootnoteReference"/>
        </w:rPr>
        <w:footnoteRef/>
      </w:r>
      <w:r>
        <w:t xml:space="preserve"> </w:t>
      </w:r>
      <w:hyperlink r:id="rId2" w:anchor="!udruge" w:history="1">
        <w:r w:rsidRPr="00250FD8">
          <w:rPr>
            <w:rStyle w:val="Hyperlink"/>
            <w:sz w:val="16"/>
            <w:szCs w:val="16"/>
          </w:rPr>
          <w:t>https://registri.uprava.hr/#!udruge</w:t>
        </w:r>
      </w:hyperlink>
    </w:p>
  </w:footnote>
  <w:footnote w:id="3">
    <w:p w14:paraId="628EB2E4" w14:textId="77777777" w:rsidR="00EA05FA" w:rsidRDefault="00EA05FA" w:rsidP="00EA05FA">
      <w:pPr>
        <w:pStyle w:val="FootnoteText"/>
      </w:pPr>
      <w:r>
        <w:rPr>
          <w:rStyle w:val="FootnoteReference"/>
        </w:rPr>
        <w:footnoteRef/>
      </w:r>
      <w:r>
        <w:t xml:space="preserve"> Financijska revizija i izvještaj neovisnog financijskog revizora obavezno je za projekte koji se sufinanciraju iz ESI fondova u iznosima jednakim ili većim od 1,5 milijuna kuna.</w:t>
      </w:r>
    </w:p>
  </w:footnote>
  <w:footnote w:id="4">
    <w:p w14:paraId="354D715E" w14:textId="77777777" w:rsidR="00142B09" w:rsidRPr="00384304" w:rsidRDefault="00142B09" w:rsidP="00142B09">
      <w:pPr>
        <w:pStyle w:val="FootnoteText"/>
        <w:rPr>
          <w:sz w:val="16"/>
          <w:szCs w:val="16"/>
        </w:rPr>
      </w:pPr>
      <w:r w:rsidRPr="00384304">
        <w:rPr>
          <w:rStyle w:val="FootnoteReference"/>
          <w:sz w:val="16"/>
          <w:szCs w:val="16"/>
        </w:rPr>
        <w:footnoteRef/>
      </w:r>
      <w:r w:rsidRPr="00DB0A15">
        <w:rPr>
          <w:rFonts w:cs="Times New Roman"/>
          <w:sz w:val="16"/>
          <w:szCs w:val="16"/>
        </w:rPr>
        <w:t xml:space="preserve">Prijavni obrazac A. dio objavljen je na sljedećoj mrežnoj stranici: </w:t>
      </w:r>
      <w:hyperlink r:id="rId3" w:history="1">
        <w:r w:rsidRPr="00DB0A15">
          <w:rPr>
            <w:rStyle w:val="Hyperlink"/>
            <w:rFonts w:cs="Times New Roman"/>
            <w:sz w:val="16"/>
            <w:szCs w:val="16"/>
          </w:rPr>
          <w:t>https://esif-wf.mrrfeu.hr</w:t>
        </w:r>
      </w:hyperlink>
      <w:r w:rsidRPr="00DB0A15">
        <w:rPr>
          <w:rFonts w:cs="Times New Roman"/>
          <w:sz w:val="16"/>
          <w:szCs w:val="16"/>
        </w:rPr>
        <w:t xml:space="preserve">. Na navedenoj stranici nalazi se Korisnički priručnik za popunjavanje Prijavnog obrasca A. dio. Aplikacija podržava sljedeće Internet preglednike: Internet Explorer 9 ili novije verzije, Google </w:t>
      </w:r>
      <w:proofErr w:type="spellStart"/>
      <w:r w:rsidRPr="00DB0A15">
        <w:rPr>
          <w:rFonts w:cs="Times New Roman"/>
          <w:sz w:val="16"/>
          <w:szCs w:val="16"/>
        </w:rPr>
        <w:t>Chrome</w:t>
      </w:r>
      <w:proofErr w:type="spellEnd"/>
      <w:r w:rsidRPr="00DB0A15">
        <w:rPr>
          <w:rFonts w:cs="Times New Roman"/>
          <w:sz w:val="16"/>
          <w:szCs w:val="16"/>
        </w:rPr>
        <w:t xml:space="preserve"> 23.0 ili novije verzije te </w:t>
      </w:r>
      <w:proofErr w:type="spellStart"/>
      <w:r w:rsidRPr="00DB0A15">
        <w:rPr>
          <w:rFonts w:cs="Times New Roman"/>
          <w:sz w:val="16"/>
          <w:szCs w:val="16"/>
        </w:rPr>
        <w:t>Mozilla</w:t>
      </w:r>
      <w:proofErr w:type="spellEnd"/>
      <w:r w:rsidRPr="00DB0A15">
        <w:rPr>
          <w:rFonts w:cs="Times New Roman"/>
          <w:sz w:val="16"/>
          <w:szCs w:val="16"/>
        </w:rPr>
        <w:t xml:space="preserve"> Firefox 17.0 ili novije verzije. Uz papirnatu verziju, Prijavni obrazac A. dio potrebno je dostaviti i u elektroničkom formatu kao zasebnu datoteku u .pdf formatu na DVD-u ili CD-u s oznakom R: CD/R, DVD/R, i to upravo onu datoteku koja je generirana od strane web aplikacije i potom spremljena na računalo radi ispisa. Datum i vrijeme navedeni u donjem desnom kutu stranica Prijavnog obrasca A. dio moraju biti identični u papirnatoj verziji i u elektroničkoj verziji dostavljenog Prijavnog obrasca A. dio.</w:t>
      </w:r>
    </w:p>
  </w:footnote>
  <w:footnote w:id="5">
    <w:p w14:paraId="7702EF46" w14:textId="77777777" w:rsidR="00142B09" w:rsidRPr="00DB0A15" w:rsidRDefault="00142B09" w:rsidP="00142B09">
      <w:pPr>
        <w:pStyle w:val="FootnoteText"/>
        <w:rPr>
          <w:sz w:val="16"/>
          <w:szCs w:val="16"/>
        </w:rPr>
      </w:pPr>
      <w:r w:rsidRPr="00DB0A15">
        <w:rPr>
          <w:rStyle w:val="FootnoteReference"/>
          <w:sz w:val="16"/>
          <w:szCs w:val="16"/>
        </w:rPr>
        <w:footnoteRef/>
      </w:r>
      <w:r w:rsidRPr="00DB0A15">
        <w:rPr>
          <w:sz w:val="16"/>
          <w:szCs w:val="16"/>
        </w:rPr>
        <w:t>Svi popratni dokumenti koje je sastavila i ovjerila ovlaštena institucija mogu se dostaviti u preslici, ukoliko nije drugačije naznačeno. Međutim, MRRFEU (UT) i SAFU (PT2) zadržavaju pravo zatražiti izvornik bilo kojeg od tih dokumenata tijekom postupka dodjele bespovratnih sredstava, ako to procjene potrebnim.</w:t>
      </w:r>
    </w:p>
  </w:footnote>
  <w:footnote w:id="6">
    <w:p w14:paraId="46A23F40" w14:textId="77777777" w:rsidR="00142B09" w:rsidRPr="00DB0A15" w:rsidRDefault="00142B09" w:rsidP="00142B09">
      <w:pPr>
        <w:pStyle w:val="FootnoteText"/>
        <w:rPr>
          <w:sz w:val="16"/>
          <w:szCs w:val="16"/>
        </w:rPr>
      </w:pPr>
      <w:r w:rsidRPr="00DB0A15">
        <w:rPr>
          <w:rStyle w:val="FootnoteReference"/>
          <w:sz w:val="16"/>
          <w:szCs w:val="16"/>
        </w:rPr>
        <w:footnoteRef/>
      </w:r>
      <w:r w:rsidRPr="00DB0A15">
        <w:rPr>
          <w:sz w:val="16"/>
          <w:szCs w:val="16"/>
        </w:rPr>
        <w:t xml:space="preserve"> Izvadci iz registra ili upisnika koji su javno dostupni putem web aplikacije se mogu dostaviti u neovjerenom elektroničkom ispisu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FAC5" w14:textId="77777777" w:rsidR="00B2544C" w:rsidRPr="0025441C" w:rsidRDefault="00B2544C" w:rsidP="0025441C">
    <w:pPr>
      <w:pStyle w:val="Header"/>
    </w:pPr>
    <w:r w:rsidRPr="0025441C">
      <w:rPr>
        <w:rFonts w:ascii="Calibri" w:eastAsia="Times New Roman" w:hAnsi="Calibri" w:cs="Times New Roman"/>
        <w:noProof/>
      </w:rPr>
      <w:drawing>
        <wp:inline distT="0" distB="0" distL="0" distR="0" wp14:anchorId="650485E0" wp14:editId="7990DEAE">
          <wp:extent cx="5283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12B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B277E"/>
    <w:multiLevelType w:val="hybridMultilevel"/>
    <w:tmpl w:val="6AB888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9C423F"/>
    <w:multiLevelType w:val="hybridMultilevel"/>
    <w:tmpl w:val="96C8F3EE"/>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4" w15:restartNumberingAfterBreak="0">
    <w:nsid w:val="07A45EEF"/>
    <w:multiLevelType w:val="hybridMultilevel"/>
    <w:tmpl w:val="A6E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96861"/>
    <w:multiLevelType w:val="hybridMultilevel"/>
    <w:tmpl w:val="68F61CE8"/>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22282"/>
    <w:multiLevelType w:val="hybridMultilevel"/>
    <w:tmpl w:val="FBDCAD2E"/>
    <w:lvl w:ilvl="0" w:tplc="73863A4E">
      <w:start w:val="1"/>
      <w:numFmt w:val="bullet"/>
      <w:lvlText w:val=""/>
      <w:lvlJc w:val="left"/>
      <w:pPr>
        <w:ind w:left="720" w:hanging="360"/>
      </w:pPr>
      <w:rPr>
        <w:rFonts w:ascii="Wingdings" w:hAnsi="Wingdings"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805171"/>
    <w:multiLevelType w:val="hybridMultilevel"/>
    <w:tmpl w:val="5600B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56F66"/>
    <w:multiLevelType w:val="hybridMultilevel"/>
    <w:tmpl w:val="CB1E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C6ABF"/>
    <w:multiLevelType w:val="hybridMultilevel"/>
    <w:tmpl w:val="134EF5AA"/>
    <w:lvl w:ilvl="0" w:tplc="112AC6AA">
      <w:start w:val="5"/>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B22F1"/>
    <w:multiLevelType w:val="hybridMultilevel"/>
    <w:tmpl w:val="49D0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E77A4"/>
    <w:multiLevelType w:val="hybridMultilevel"/>
    <w:tmpl w:val="3C0849C2"/>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3579BF"/>
    <w:multiLevelType w:val="hybridMultilevel"/>
    <w:tmpl w:val="E20EC114"/>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F94ACD"/>
    <w:multiLevelType w:val="hybridMultilevel"/>
    <w:tmpl w:val="E0022916"/>
    <w:lvl w:ilvl="0" w:tplc="842AB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F74320"/>
    <w:multiLevelType w:val="hybridMultilevel"/>
    <w:tmpl w:val="5C26B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5831F9"/>
    <w:multiLevelType w:val="hybridMultilevel"/>
    <w:tmpl w:val="D8AAB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224619"/>
    <w:multiLevelType w:val="hybridMultilevel"/>
    <w:tmpl w:val="E668C8C0"/>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46153B"/>
    <w:multiLevelType w:val="hybridMultilevel"/>
    <w:tmpl w:val="D1F68350"/>
    <w:lvl w:ilvl="0" w:tplc="1376E812">
      <w:start w:val="1"/>
      <w:numFmt w:val="decimal"/>
      <w:lvlText w:val="%1."/>
      <w:lvlJc w:val="left"/>
      <w:pPr>
        <w:ind w:left="340" w:hanging="34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58047AF"/>
    <w:multiLevelType w:val="hybridMultilevel"/>
    <w:tmpl w:val="99FE1EF8"/>
    <w:lvl w:ilvl="0" w:tplc="9EC80F04">
      <w:start w:val="1"/>
      <w:numFmt w:val="bullet"/>
      <w:lvlText w:val=""/>
      <w:lvlJc w:val="left"/>
      <w:pPr>
        <w:ind w:left="720" w:hanging="360"/>
      </w:pPr>
      <w:rPr>
        <w:rFonts w:ascii="Wingdings" w:hAnsi="Wingdings" w:hint="default"/>
        <w:color w:val="F79646"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28797C"/>
    <w:multiLevelType w:val="hybridMultilevel"/>
    <w:tmpl w:val="CDB2A7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A6D56B4"/>
    <w:multiLevelType w:val="hybridMultilevel"/>
    <w:tmpl w:val="F14ECC0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FE16617"/>
    <w:multiLevelType w:val="hybridMultilevel"/>
    <w:tmpl w:val="929E358A"/>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A25EC"/>
    <w:multiLevelType w:val="hybridMultilevel"/>
    <w:tmpl w:val="946680B4"/>
    <w:lvl w:ilvl="0" w:tplc="38BCD2B8">
      <w:start w:val="6"/>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D2BE8"/>
    <w:multiLevelType w:val="hybridMultilevel"/>
    <w:tmpl w:val="192AA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7695985"/>
    <w:multiLevelType w:val="hybridMultilevel"/>
    <w:tmpl w:val="DF08ED9A"/>
    <w:lvl w:ilvl="0" w:tplc="FF2018F6">
      <w:start w:val="5"/>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3"/>
  </w:num>
  <w:num w:numId="4">
    <w:abstractNumId w:val="7"/>
  </w:num>
  <w:num w:numId="5">
    <w:abstractNumId w:val="4"/>
  </w:num>
  <w:num w:numId="6">
    <w:abstractNumId w:val="5"/>
  </w:num>
  <w:num w:numId="7">
    <w:abstractNumId w:val="0"/>
  </w:num>
  <w:num w:numId="8">
    <w:abstractNumId w:val="3"/>
  </w:num>
  <w:num w:numId="9">
    <w:abstractNumId w:val="11"/>
  </w:num>
  <w:num w:numId="10">
    <w:abstractNumId w:val="21"/>
  </w:num>
  <w:num w:numId="11">
    <w:abstractNumId w:val="15"/>
  </w:num>
  <w:num w:numId="12">
    <w:abstractNumId w:val="20"/>
  </w:num>
  <w:num w:numId="13">
    <w:abstractNumId w:val="13"/>
  </w:num>
  <w:num w:numId="14">
    <w:abstractNumId w:val="19"/>
  </w:num>
  <w:num w:numId="15">
    <w:abstractNumId w:val="14"/>
  </w:num>
  <w:num w:numId="16">
    <w:abstractNumId w:val="8"/>
  </w:num>
  <w:num w:numId="17">
    <w:abstractNumId w:val="10"/>
  </w:num>
  <w:num w:numId="18">
    <w:abstractNumId w:val="17"/>
  </w:num>
  <w:num w:numId="19">
    <w:abstractNumId w:val="16"/>
  </w:num>
  <w:num w:numId="20">
    <w:abstractNumId w:val="12"/>
  </w:num>
  <w:num w:numId="21">
    <w:abstractNumId w:val="18"/>
  </w:num>
  <w:num w:numId="22">
    <w:abstractNumId w:val="6"/>
  </w:num>
  <w:num w:numId="23">
    <w:abstractNumId w:val="9"/>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24069"/>
    <w:rsid w:val="00026ABA"/>
    <w:rsid w:val="000524BE"/>
    <w:rsid w:val="000579FD"/>
    <w:rsid w:val="00084427"/>
    <w:rsid w:val="00087EE6"/>
    <w:rsid w:val="00112A8F"/>
    <w:rsid w:val="001223EB"/>
    <w:rsid w:val="0013525C"/>
    <w:rsid w:val="00142B09"/>
    <w:rsid w:val="00147163"/>
    <w:rsid w:val="001814CD"/>
    <w:rsid w:val="001A0050"/>
    <w:rsid w:val="001B0885"/>
    <w:rsid w:val="001B1428"/>
    <w:rsid w:val="001B1D74"/>
    <w:rsid w:val="001C14DE"/>
    <w:rsid w:val="001C2C98"/>
    <w:rsid w:val="001C542A"/>
    <w:rsid w:val="001D2BAA"/>
    <w:rsid w:val="001E5546"/>
    <w:rsid w:val="002041EC"/>
    <w:rsid w:val="0025441C"/>
    <w:rsid w:val="00287A95"/>
    <w:rsid w:val="00295613"/>
    <w:rsid w:val="002A5507"/>
    <w:rsid w:val="002A585A"/>
    <w:rsid w:val="002A5F85"/>
    <w:rsid w:val="002C4A89"/>
    <w:rsid w:val="002F5C0E"/>
    <w:rsid w:val="003136DC"/>
    <w:rsid w:val="003418E7"/>
    <w:rsid w:val="00341C0C"/>
    <w:rsid w:val="00344409"/>
    <w:rsid w:val="003521EE"/>
    <w:rsid w:val="003601E3"/>
    <w:rsid w:val="00387851"/>
    <w:rsid w:val="003A2F34"/>
    <w:rsid w:val="003C0590"/>
    <w:rsid w:val="003D5B3F"/>
    <w:rsid w:val="00400D7D"/>
    <w:rsid w:val="00401337"/>
    <w:rsid w:val="00440612"/>
    <w:rsid w:val="004806F4"/>
    <w:rsid w:val="004A1E96"/>
    <w:rsid w:val="004B3CDC"/>
    <w:rsid w:val="004C1B92"/>
    <w:rsid w:val="004D0BF6"/>
    <w:rsid w:val="004D567C"/>
    <w:rsid w:val="004E13DF"/>
    <w:rsid w:val="004E2E9D"/>
    <w:rsid w:val="004E4F5B"/>
    <w:rsid w:val="00512AC1"/>
    <w:rsid w:val="00522B99"/>
    <w:rsid w:val="00536995"/>
    <w:rsid w:val="005653A4"/>
    <w:rsid w:val="00576E6F"/>
    <w:rsid w:val="005B0573"/>
    <w:rsid w:val="005B2CEE"/>
    <w:rsid w:val="005E3962"/>
    <w:rsid w:val="005E52FE"/>
    <w:rsid w:val="0062170F"/>
    <w:rsid w:val="006235DF"/>
    <w:rsid w:val="00646174"/>
    <w:rsid w:val="00651DFD"/>
    <w:rsid w:val="0066630E"/>
    <w:rsid w:val="00670507"/>
    <w:rsid w:val="006C51B4"/>
    <w:rsid w:val="006D1DA2"/>
    <w:rsid w:val="006D42A9"/>
    <w:rsid w:val="006E4234"/>
    <w:rsid w:val="006F0D27"/>
    <w:rsid w:val="006F4A60"/>
    <w:rsid w:val="006F6EA0"/>
    <w:rsid w:val="00702B91"/>
    <w:rsid w:val="00703B6F"/>
    <w:rsid w:val="00733058"/>
    <w:rsid w:val="007561A6"/>
    <w:rsid w:val="00760CE1"/>
    <w:rsid w:val="00764691"/>
    <w:rsid w:val="00780D59"/>
    <w:rsid w:val="007863F1"/>
    <w:rsid w:val="007C4022"/>
    <w:rsid w:val="007E6DF7"/>
    <w:rsid w:val="007F6835"/>
    <w:rsid w:val="00851A81"/>
    <w:rsid w:val="00880F33"/>
    <w:rsid w:val="008A7790"/>
    <w:rsid w:val="008B61DC"/>
    <w:rsid w:val="008E4FC3"/>
    <w:rsid w:val="00907BE6"/>
    <w:rsid w:val="009345F5"/>
    <w:rsid w:val="009B4B35"/>
    <w:rsid w:val="009C28AD"/>
    <w:rsid w:val="009C7D1A"/>
    <w:rsid w:val="00A06DD9"/>
    <w:rsid w:val="00A24C72"/>
    <w:rsid w:val="00A35DFF"/>
    <w:rsid w:val="00A901C7"/>
    <w:rsid w:val="00A91707"/>
    <w:rsid w:val="00A9176C"/>
    <w:rsid w:val="00AA4CC0"/>
    <w:rsid w:val="00AB2D1A"/>
    <w:rsid w:val="00AB337F"/>
    <w:rsid w:val="00AC497C"/>
    <w:rsid w:val="00AD073A"/>
    <w:rsid w:val="00AD27A7"/>
    <w:rsid w:val="00AE1739"/>
    <w:rsid w:val="00AE5B04"/>
    <w:rsid w:val="00B016E1"/>
    <w:rsid w:val="00B2544C"/>
    <w:rsid w:val="00B33112"/>
    <w:rsid w:val="00B3421C"/>
    <w:rsid w:val="00B62EF2"/>
    <w:rsid w:val="00B77E6D"/>
    <w:rsid w:val="00B82DED"/>
    <w:rsid w:val="00B87B2E"/>
    <w:rsid w:val="00B910B9"/>
    <w:rsid w:val="00B9154C"/>
    <w:rsid w:val="00B95AC2"/>
    <w:rsid w:val="00BA579D"/>
    <w:rsid w:val="00BC2142"/>
    <w:rsid w:val="00BF18E3"/>
    <w:rsid w:val="00BF2400"/>
    <w:rsid w:val="00C06589"/>
    <w:rsid w:val="00C309D8"/>
    <w:rsid w:val="00C429E1"/>
    <w:rsid w:val="00C602BD"/>
    <w:rsid w:val="00C63AF7"/>
    <w:rsid w:val="00C7794E"/>
    <w:rsid w:val="00C81CF8"/>
    <w:rsid w:val="00CA3970"/>
    <w:rsid w:val="00CB0F83"/>
    <w:rsid w:val="00CD2D6B"/>
    <w:rsid w:val="00CE1EB8"/>
    <w:rsid w:val="00CE2E0E"/>
    <w:rsid w:val="00D031B8"/>
    <w:rsid w:val="00D112AD"/>
    <w:rsid w:val="00D52FE9"/>
    <w:rsid w:val="00D6176A"/>
    <w:rsid w:val="00DA75D6"/>
    <w:rsid w:val="00DF06E1"/>
    <w:rsid w:val="00E15641"/>
    <w:rsid w:val="00E43FB9"/>
    <w:rsid w:val="00E90B11"/>
    <w:rsid w:val="00E9728C"/>
    <w:rsid w:val="00EA05FA"/>
    <w:rsid w:val="00EA17C2"/>
    <w:rsid w:val="00EB32F7"/>
    <w:rsid w:val="00EB7074"/>
    <w:rsid w:val="00EC133D"/>
    <w:rsid w:val="00ED0D52"/>
    <w:rsid w:val="00EF2418"/>
    <w:rsid w:val="00EF43BD"/>
    <w:rsid w:val="00EF5E58"/>
    <w:rsid w:val="00F3072A"/>
    <w:rsid w:val="00F3580D"/>
    <w:rsid w:val="00F44FD3"/>
    <w:rsid w:val="00F538FF"/>
    <w:rsid w:val="00F91B96"/>
    <w:rsid w:val="00FA5ABD"/>
    <w:rsid w:val="00FB3C51"/>
    <w:rsid w:val="00FC1B84"/>
    <w:rsid w:val="00FC5CEB"/>
    <w:rsid w:val="00FE04A2"/>
    <w:rsid w:val="00FE20D5"/>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0146F"/>
  <w15:docId w15:val="{24F39E4A-6EAD-42EA-A43F-AC114A0B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2FE9"/>
    <w:pPr>
      <w:ind w:left="720"/>
      <w:contextualSpacing/>
    </w:pPr>
  </w:style>
  <w:style w:type="paragraph" w:styleId="CommentText">
    <w:name w:val="annotation text"/>
    <w:basedOn w:val="Normal"/>
    <w:link w:val="CommentTextChar"/>
    <w:uiPriority w:val="99"/>
    <w:unhideWhenUsed/>
    <w:rsid w:val="00387851"/>
    <w:pPr>
      <w:spacing w:line="240" w:lineRule="auto"/>
    </w:pPr>
    <w:rPr>
      <w:sz w:val="20"/>
      <w:szCs w:val="20"/>
    </w:rPr>
  </w:style>
  <w:style w:type="character" w:customStyle="1" w:styleId="CommentTextChar">
    <w:name w:val="Comment Text Char"/>
    <w:basedOn w:val="DefaultParagraphFont"/>
    <w:link w:val="CommentText"/>
    <w:uiPriority w:val="99"/>
    <w:rsid w:val="00387851"/>
    <w:rPr>
      <w:sz w:val="20"/>
      <w:szCs w:val="20"/>
    </w:rPr>
  </w:style>
  <w:style w:type="character" w:styleId="CommentReference">
    <w:name w:val="annotation reference"/>
    <w:basedOn w:val="DefaultParagraphFont"/>
    <w:uiPriority w:val="99"/>
    <w:unhideWhenUsed/>
    <w:rsid w:val="00387851"/>
    <w:rPr>
      <w:sz w:val="16"/>
      <w:szCs w:val="16"/>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FE20D5"/>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FE20D5"/>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FE20D5"/>
    <w:rPr>
      <w:vertAlign w:val="superscript"/>
    </w:rPr>
  </w:style>
  <w:style w:type="paragraph" w:customStyle="1" w:styleId="Char2">
    <w:name w:val="Char2"/>
    <w:basedOn w:val="Normal"/>
    <w:link w:val="FootnoteReference"/>
    <w:uiPriority w:val="99"/>
    <w:rsid w:val="00FE20D5"/>
    <w:pPr>
      <w:spacing w:after="120" w:line="240" w:lineRule="exact"/>
    </w:pPr>
    <w:rPr>
      <w:vertAlign w:val="superscript"/>
    </w:rPr>
  </w:style>
  <w:style w:type="table" w:customStyle="1" w:styleId="TableGrid2">
    <w:name w:val="Table Grid2"/>
    <w:basedOn w:val="TableNormal"/>
    <w:next w:val="TableGrid"/>
    <w:uiPriority w:val="59"/>
    <w:rsid w:val="00FC5CEB"/>
    <w:pPr>
      <w:spacing w:after="0" w:line="240" w:lineRule="auto"/>
    </w:pPr>
    <w:rPr>
      <w:rFonts w:ascii="VladaRHSans Lt" w:eastAsia="Times New Roman" w:hAnsi="VladaRHSans Lt" w:cs="Times New Roman"/>
      <w:szCs w:val="3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C14D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14DE"/>
    <w:rPr>
      <w:rFonts w:ascii="Lucida Grande" w:hAnsi="Lucida Grande" w:cs="Lucida Grande"/>
      <w:sz w:val="24"/>
      <w:szCs w:val="24"/>
    </w:rPr>
  </w:style>
  <w:style w:type="character" w:customStyle="1" w:styleId="ListParagraphChar">
    <w:name w:val="List Paragraph Char"/>
    <w:link w:val="ListParagraph"/>
    <w:uiPriority w:val="34"/>
    <w:locked/>
    <w:rsid w:val="001C14DE"/>
  </w:style>
  <w:style w:type="paragraph" w:styleId="CommentSubject">
    <w:name w:val="annotation subject"/>
    <w:basedOn w:val="CommentText"/>
    <w:next w:val="CommentText"/>
    <w:link w:val="CommentSubjectChar"/>
    <w:uiPriority w:val="99"/>
    <w:semiHidden/>
    <w:unhideWhenUsed/>
    <w:rsid w:val="00B3421C"/>
    <w:rPr>
      <w:b/>
      <w:bCs/>
    </w:rPr>
  </w:style>
  <w:style w:type="character" w:customStyle="1" w:styleId="CommentSubjectChar">
    <w:name w:val="Comment Subject Char"/>
    <w:basedOn w:val="CommentTextChar"/>
    <w:link w:val="CommentSubject"/>
    <w:uiPriority w:val="99"/>
    <w:semiHidden/>
    <w:rsid w:val="00B3421C"/>
    <w:rPr>
      <w:b/>
      <w:bCs/>
      <w:sz w:val="20"/>
      <w:szCs w:val="20"/>
    </w:rPr>
  </w:style>
  <w:style w:type="character" w:customStyle="1" w:styleId="st1">
    <w:name w:val="st1"/>
    <w:basedOn w:val="DefaultParagraphFont"/>
    <w:rsid w:val="007561A6"/>
  </w:style>
  <w:style w:type="paragraph" w:customStyle="1" w:styleId="Default">
    <w:name w:val="Default"/>
    <w:rsid w:val="004C1B92"/>
    <w:pPr>
      <w:autoSpaceDE w:val="0"/>
      <w:autoSpaceDN w:val="0"/>
      <w:adjustRightInd w:val="0"/>
      <w:spacing w:after="0" w:line="240" w:lineRule="auto"/>
    </w:pPr>
    <w:rPr>
      <w:rFonts w:ascii="VladaRHSans Lt" w:eastAsia="Times New Roman" w:hAnsi="VladaRHSans Lt" w:cs="Times New Roman"/>
      <w:color w:val="000000"/>
      <w:sz w:val="24"/>
      <w:szCs w:val="24"/>
      <w:lang w:eastAsia="en-US"/>
    </w:rPr>
  </w:style>
  <w:style w:type="paragraph" w:styleId="Title">
    <w:name w:val="Title"/>
    <w:basedOn w:val="Normal"/>
    <w:next w:val="Normal"/>
    <w:link w:val="TitleChar"/>
    <w:autoRedefine/>
    <w:uiPriority w:val="10"/>
    <w:qFormat/>
    <w:rsid w:val="001814CD"/>
    <w:pPr>
      <w:spacing w:line="240" w:lineRule="auto"/>
      <w:contextualSpacing/>
      <w:jc w:val="center"/>
    </w:pPr>
    <w:rPr>
      <w:rFonts w:ascii="Gill Sans MT" w:eastAsiaTheme="majorEastAsia" w:hAnsi="Gill Sans MT" w:cs="Lucida Sans"/>
      <w:color w:val="EF7F24"/>
      <w:spacing w:val="5"/>
      <w:sz w:val="32"/>
      <w:szCs w:val="32"/>
      <w:lang w:eastAsia="en-US"/>
    </w:rPr>
  </w:style>
  <w:style w:type="character" w:customStyle="1" w:styleId="TitleChar">
    <w:name w:val="Title Char"/>
    <w:basedOn w:val="DefaultParagraphFont"/>
    <w:link w:val="Title"/>
    <w:uiPriority w:val="10"/>
    <w:rsid w:val="001814CD"/>
    <w:rPr>
      <w:rFonts w:ascii="Gill Sans MT" w:eastAsiaTheme="majorEastAsia" w:hAnsi="Gill Sans MT" w:cs="Lucida Sans"/>
      <w:color w:val="EF7F24"/>
      <w:spacing w:val="5"/>
      <w:sz w:val="32"/>
      <w:szCs w:val="32"/>
      <w:lang w:eastAsia="en-US"/>
    </w:rPr>
  </w:style>
  <w:style w:type="character" w:styleId="Emphasis">
    <w:name w:val="Emphasis"/>
    <w:uiPriority w:val="20"/>
    <w:qFormat/>
    <w:rsid w:val="00733058"/>
    <w:rPr>
      <w:b/>
      <w:bCs/>
      <w:i/>
      <w:iCs/>
      <w:spacing w:val="10"/>
      <w:bdr w:val="none" w:sz="0" w:space="0" w:color="auto"/>
      <w:shd w:val="clear" w:color="auto" w:fill="auto"/>
    </w:rPr>
  </w:style>
  <w:style w:type="character" w:styleId="Hyperlink">
    <w:name w:val="Hyperlink"/>
    <w:basedOn w:val="DefaultParagraphFont"/>
    <w:uiPriority w:val="99"/>
    <w:unhideWhenUsed/>
    <w:rsid w:val="002A585A"/>
    <w:rPr>
      <w:color w:val="0000FF" w:themeColor="hyperlink"/>
      <w:u w:val="single"/>
    </w:rPr>
  </w:style>
  <w:style w:type="table" w:customStyle="1" w:styleId="GridTable41">
    <w:name w:val="Grid Table 41"/>
    <w:basedOn w:val="TableNormal"/>
    <w:uiPriority w:val="49"/>
    <w:rsid w:val="002A585A"/>
    <w:pPr>
      <w:spacing w:after="0" w:line="240" w:lineRule="auto"/>
    </w:pPr>
    <w:rPr>
      <w:rFonts w:ascii="Gill Sans MT" w:eastAsiaTheme="minorHAnsi" w:hAnsi="Gill Sans MT"/>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21">
    <w:name w:val="Grid Table 4 - Accent 21"/>
    <w:basedOn w:val="TableNormal"/>
    <w:uiPriority w:val="49"/>
    <w:rsid w:val="0062170F"/>
    <w:pPr>
      <w:spacing w:before="100" w:after="0" w:line="240" w:lineRule="auto"/>
    </w:pPr>
    <w:rPr>
      <w:sz w:val="20"/>
      <w:szCs w:val="20"/>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1">
    <w:name w:val="Grid Table 4 - Accent 61"/>
    <w:basedOn w:val="TableNormal"/>
    <w:uiPriority w:val="49"/>
    <w:rsid w:val="007F683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if-wf.mrrfeu.hr" TargetMode="External"/><Relationship Id="rId2" Type="http://schemas.openxmlformats.org/officeDocument/2006/relationships/hyperlink" Target="https://registri.uprava.hr/" TargetMode="External"/><Relationship Id="rId1" Type="http://schemas.openxmlformats.org/officeDocument/2006/relationships/hyperlink" Target="https://sudreg.pravosudje.hr/registar/f?p=15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1822</Words>
  <Characters>10386</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Nirvana Kapitan Butković</cp:lastModifiedBy>
  <cp:revision>5</cp:revision>
  <dcterms:created xsi:type="dcterms:W3CDTF">2017-05-31T13:42:00Z</dcterms:created>
  <dcterms:modified xsi:type="dcterms:W3CDTF">2017-05-31T13:43:00Z</dcterms:modified>
</cp:coreProperties>
</file>