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03" w:rsidRDefault="00A74D57" w:rsidP="00A24C72">
      <w:pPr>
        <w:tabs>
          <w:tab w:val="left" w:pos="6047"/>
        </w:tabs>
        <w:spacing w:after="0" w:line="240" w:lineRule="auto"/>
        <w:jc w:val="center"/>
        <w:outlineLvl w:val="1"/>
        <w:rPr>
          <w:rFonts w:ascii="Lucida Sans Unicode" w:eastAsia="Times New Roman" w:hAnsi="Lucida Sans Unicode" w:cs="Lucida Sans Unicode"/>
          <w:b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50F6A097" wp14:editId="207B9AEC">
            <wp:simplePos x="0" y="0"/>
            <wp:positionH relativeFrom="column">
              <wp:posOffset>1957705</wp:posOffset>
            </wp:positionH>
            <wp:positionV relativeFrom="paragraph">
              <wp:posOffset>71755</wp:posOffset>
            </wp:positionV>
            <wp:extent cx="1905000" cy="514350"/>
            <wp:effectExtent l="0" t="0" r="0" b="0"/>
            <wp:wrapNone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21EE" w:rsidRPr="00766991" w:rsidRDefault="003521EE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3521EE" w:rsidRDefault="003521EE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A74D5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Pr="00766991" w:rsidRDefault="00A74D57" w:rsidP="00A74D57">
      <w:pPr>
        <w:tabs>
          <w:tab w:val="left" w:pos="6047"/>
        </w:tabs>
        <w:spacing w:after="0" w:line="240" w:lineRule="auto"/>
        <w:jc w:val="center"/>
        <w:outlineLvl w:val="1"/>
        <w:rPr>
          <w:rFonts w:ascii="Lucida Sans Unicode" w:eastAsia="Times New Roman" w:hAnsi="Lucida Sans Unicode" w:cs="Lucida Sans Unicode"/>
          <w:bCs/>
          <w:i/>
          <w:lang w:eastAsia="ar-SA"/>
        </w:rPr>
      </w:pPr>
      <w:r w:rsidRPr="00766991">
        <w:rPr>
          <w:rFonts w:ascii="Lucida Sans Unicode" w:eastAsia="Times New Roman" w:hAnsi="Lucida Sans Unicode" w:cs="Lucida Sans Unicode"/>
          <w:b/>
        </w:rPr>
        <w:t xml:space="preserve">Obrazac sažetka poziva </w:t>
      </w:r>
    </w:p>
    <w:p w:rsidR="00A74D57" w:rsidRPr="00766991" w:rsidRDefault="00A74D57" w:rsidP="00A74D57">
      <w:pPr>
        <w:tabs>
          <w:tab w:val="center" w:pos="4320"/>
          <w:tab w:val="center" w:pos="4819"/>
          <w:tab w:val="right" w:pos="8640"/>
          <w:tab w:val="right" w:pos="9638"/>
        </w:tabs>
        <w:spacing w:after="0" w:line="240" w:lineRule="auto"/>
        <w:ind w:left="720"/>
        <w:rPr>
          <w:rFonts w:ascii="Lucida Sans Unicode" w:eastAsia="Times New Roman" w:hAnsi="Lucida Sans Unicode" w:cs="Lucida Sans Unicode"/>
          <w:bCs/>
          <w:i/>
          <w:lang w:eastAsia="ar-SA"/>
        </w:rPr>
      </w:pPr>
    </w:p>
    <w:p w:rsidR="00A74D57" w:rsidRPr="00766991" w:rsidRDefault="00A74D57" w:rsidP="00A74D5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  <w:r w:rsidRPr="00766991">
        <w:rPr>
          <w:rFonts w:ascii="Lucida Sans Unicode" w:eastAsia="Times New Roman" w:hAnsi="Lucida Sans Unicode" w:cs="Lucida Sans Unicode"/>
          <w:bCs/>
          <w:lang w:eastAsia="ar-SA"/>
        </w:rPr>
        <w:t>Naziv poziva:</w:t>
      </w:r>
    </w:p>
    <w:p w:rsidR="00A74D57" w:rsidRDefault="00A74D57" w:rsidP="00A74D5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/>
          <w:bCs/>
          <w:lang w:eastAsia="ar-SA"/>
        </w:rPr>
      </w:pPr>
      <w:r w:rsidRPr="0067402D">
        <w:rPr>
          <w:rFonts w:ascii="Lucida Sans Unicode" w:eastAsia="Times New Roman" w:hAnsi="Lucida Sans Unicode" w:cs="Lucida Sans Unicode"/>
          <w:b/>
          <w:bCs/>
          <w:lang w:eastAsia="ar-SA"/>
        </w:rPr>
        <w:t>KOMPETENTNOST I RAZVOJ MSP</w:t>
      </w:r>
    </w:p>
    <w:p w:rsidR="00A74D57" w:rsidRDefault="00A74D57" w:rsidP="00A74D5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Pr="00766991" w:rsidRDefault="00A74D57" w:rsidP="00A74D5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  <w:r w:rsidRPr="00766991">
        <w:rPr>
          <w:rFonts w:ascii="Lucida Sans Unicode" w:eastAsia="Times New Roman" w:hAnsi="Lucida Sans Unicode" w:cs="Lucida Sans Unicode"/>
          <w:bCs/>
          <w:lang w:eastAsia="ar-SA"/>
        </w:rPr>
        <w:t xml:space="preserve">Referentni broj poziva: </w:t>
      </w:r>
      <w:r w:rsidR="00E24C6D" w:rsidRPr="00E24C6D">
        <w:rPr>
          <w:rFonts w:ascii="Lucida Sans Unicode" w:eastAsia="Times New Roman" w:hAnsi="Lucida Sans Unicode" w:cs="Lucida Sans Unicode"/>
          <w:bCs/>
          <w:lang w:eastAsia="ar-SA"/>
        </w:rPr>
        <w:t>KK.03.2.1.05</w:t>
      </w: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  <w:bookmarkStart w:id="0" w:name="_GoBack"/>
      <w:bookmarkEnd w:id="0"/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  <w:r>
        <w:rPr>
          <w:noProof/>
        </w:rPr>
        <w:drawing>
          <wp:inline distT="0" distB="0" distL="0" distR="0" wp14:anchorId="67D70E4F" wp14:editId="404CDA05">
            <wp:extent cx="5760720" cy="9956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/>
                    <a:srcRect l="7132" t="46903" r="16790" b="28497"/>
                    <a:stretch/>
                  </pic:blipFill>
                  <pic:spPr bwMode="auto">
                    <a:xfrm>
                      <a:off x="0" y="0"/>
                      <a:ext cx="5760720" cy="9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4D57" w:rsidRDefault="00881921" w:rsidP="00881921">
      <w:pPr>
        <w:pBdr>
          <w:bottom w:val="single" w:sz="12" w:space="1" w:color="auto"/>
        </w:pBdr>
        <w:tabs>
          <w:tab w:val="left" w:pos="6225"/>
        </w:tabs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ab/>
      </w:r>
    </w:p>
    <w:p w:rsidR="00A74D57" w:rsidRPr="00825303" w:rsidRDefault="00A74D57" w:rsidP="00A74D57">
      <w:pPr>
        <w:jc w:val="center"/>
        <w:rPr>
          <w:rFonts w:ascii="Times New Roman" w:eastAsia="Calibri" w:hAnsi="Times New Roman"/>
          <w:i/>
          <w:lang w:eastAsia="en-US"/>
        </w:rPr>
      </w:pPr>
      <w:r>
        <w:rPr>
          <w:rFonts w:ascii="Times New Roman" w:eastAsia="Calibri" w:hAnsi="Times New Roman"/>
          <w:i/>
          <w:lang w:eastAsia="en-US"/>
        </w:rPr>
        <w:t>Ovaj poziv se financira iz Europskog fonda za regionalni razvoj</w:t>
      </w:r>
    </w:p>
    <w:p w:rsidR="00A74D57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A74D57" w:rsidRPr="00766991" w:rsidRDefault="00A74D57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lang w:eastAsia="ar-SA"/>
        </w:rPr>
      </w:pPr>
    </w:p>
    <w:p w:rsidR="00D52FE9" w:rsidRPr="00766991" w:rsidRDefault="00BF18E3" w:rsidP="0056783A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before="120" w:after="120" w:line="240" w:lineRule="auto"/>
        <w:ind w:left="714" w:hanging="357"/>
        <w:rPr>
          <w:rStyle w:val="hps"/>
          <w:rFonts w:ascii="Lucida Sans Unicode" w:hAnsi="Lucida Sans Unicode" w:cs="Lucida Sans Unicode"/>
          <w:b/>
        </w:rPr>
      </w:pPr>
      <w:r w:rsidRPr="00766991">
        <w:rPr>
          <w:rStyle w:val="hps"/>
          <w:rFonts w:ascii="Lucida Sans Unicode" w:hAnsi="Lucida Sans Unicode" w:cs="Lucida Sans Unicode"/>
          <w:b/>
        </w:rPr>
        <w:t>Cilj</w:t>
      </w:r>
      <w:r w:rsidR="000014C2" w:rsidRPr="00766991">
        <w:rPr>
          <w:rStyle w:val="hps"/>
          <w:rFonts w:ascii="Lucida Sans Unicode" w:hAnsi="Lucida Sans Unicode" w:cs="Lucida Sans Unicode"/>
          <w:b/>
        </w:rPr>
        <w:t xml:space="preserve"> </w:t>
      </w:r>
      <w:r w:rsidRPr="00766991">
        <w:rPr>
          <w:rStyle w:val="hps"/>
          <w:rFonts w:ascii="Lucida Sans Unicode" w:hAnsi="Lucida Sans Unicode" w:cs="Lucida Sans Unicode"/>
          <w:b/>
        </w:rPr>
        <w:t>poziva</w:t>
      </w:r>
    </w:p>
    <w:p w:rsidR="00762AFC" w:rsidRPr="00762AFC" w:rsidRDefault="0064332B" w:rsidP="00762AFC">
      <w:pPr>
        <w:tabs>
          <w:tab w:val="center" w:pos="4320"/>
          <w:tab w:val="right" w:pos="8640"/>
        </w:tabs>
        <w:spacing w:after="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66991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>Predmet</w:t>
      </w:r>
      <w:r w:rsidRPr="00766991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: </w:t>
      </w:r>
      <w:r w:rsidR="00762AFC"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Poboljšanje poslovnog razvoja i tehnološke spremnosti MSP-a poticanjem ulaganja u kapacitete MSP, posebice kroz izgradnju i/ili opremanje poslovnih jedinica.</w:t>
      </w:r>
    </w:p>
    <w:p w:rsidR="00762AFC" w:rsidRPr="00762AFC" w:rsidRDefault="00762AFC" w:rsidP="00762AFC">
      <w:pPr>
        <w:tabs>
          <w:tab w:val="center" w:pos="4320"/>
          <w:tab w:val="right" w:pos="8640"/>
        </w:tabs>
        <w:spacing w:after="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62AFC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>Namjena:</w:t>
      </w:r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Poticanje investicija u početna ulaganja povezana s osnivanjem nove poslovne jedinice, proširenjem kapaciteta postojeće poslovne jedinice, diversifikacijom proizvodnje poslovne jedinice na proizvode koje dotična poslovna jedinica prethodno nije proizvodila ili temeljitom promjenom u sveukupnom proizvodnom procesu postojeće poslovne jedinice.</w:t>
      </w:r>
    </w:p>
    <w:p w:rsidR="00762AFC" w:rsidRDefault="00762AFC" w:rsidP="00762AFC">
      <w:pPr>
        <w:tabs>
          <w:tab w:val="center" w:pos="4320"/>
          <w:tab w:val="right" w:pos="8640"/>
        </w:tabs>
        <w:spacing w:after="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62AFC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>Cilj:</w:t>
      </w:r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</w:t>
      </w:r>
      <w:r w:rsidR="004F3B76">
        <w:rPr>
          <w:rStyle w:val="hps"/>
          <w:rFonts w:ascii="Lucida Sans Unicode" w:eastAsia="Times New Roman" w:hAnsi="Lucida Sans Unicode" w:cs="Lucida Sans Unicode"/>
          <w:bCs/>
          <w:lang w:eastAsia="ar-SA"/>
        </w:rPr>
        <w:t>Jačanje regionalne konkurentnosti kroz r</w:t>
      </w:r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azvoj malog i srednjeg poduzetništva te razvoj novih kompetencija i stvaranje novih radnih mjesta.</w:t>
      </w:r>
    </w:p>
    <w:p w:rsidR="00D52FE9" w:rsidRPr="00766991" w:rsidRDefault="00BF18E3" w:rsidP="0056783A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before="120" w:after="120" w:line="240" w:lineRule="auto"/>
        <w:ind w:left="714" w:hanging="357"/>
        <w:rPr>
          <w:rStyle w:val="hps"/>
          <w:rFonts w:ascii="Lucida Sans Unicode" w:hAnsi="Lucida Sans Unicode" w:cs="Lucida Sans Unicode"/>
          <w:b/>
        </w:rPr>
      </w:pPr>
      <w:r w:rsidRPr="00766991">
        <w:rPr>
          <w:rStyle w:val="hps"/>
          <w:rFonts w:ascii="Lucida Sans Unicode" w:hAnsi="Lucida Sans Unicode" w:cs="Lucida Sans Unicode"/>
          <w:b/>
        </w:rPr>
        <w:t>Ukupna</w:t>
      </w:r>
      <w:r w:rsidRPr="00766991">
        <w:rPr>
          <w:rStyle w:val="hps"/>
          <w:b/>
        </w:rPr>
        <w:t xml:space="preserve"> </w:t>
      </w:r>
      <w:r w:rsidRPr="00766991">
        <w:rPr>
          <w:rStyle w:val="hps"/>
          <w:rFonts w:ascii="Lucida Sans Unicode" w:hAnsi="Lucida Sans Unicode" w:cs="Lucida Sans Unicode"/>
          <w:b/>
        </w:rPr>
        <w:t>raspoloživa sredstva</w:t>
      </w:r>
    </w:p>
    <w:p w:rsidR="00762AFC" w:rsidRDefault="00762AFC" w:rsidP="0056783A">
      <w:pPr>
        <w:tabs>
          <w:tab w:val="center" w:pos="4320"/>
          <w:tab w:val="right" w:pos="8640"/>
        </w:tabs>
        <w:spacing w:after="8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Temeljem Operativnog programa Konkurentnost i kohezija u Državnom proračunu Republike Hrvatske iz Europskog fonda za regionalni razvoj osigurano je 867.000.000,00 kuna za razdoblje 2014. – 2020.</w:t>
      </w:r>
    </w:p>
    <w:p w:rsidR="00D52FE9" w:rsidRPr="00766991" w:rsidRDefault="00BF18E3" w:rsidP="0056783A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before="120" w:after="120" w:line="240" w:lineRule="auto"/>
        <w:ind w:left="714" w:hanging="357"/>
        <w:rPr>
          <w:rStyle w:val="hps"/>
          <w:b/>
        </w:rPr>
      </w:pPr>
      <w:r w:rsidRPr="00766991">
        <w:rPr>
          <w:rStyle w:val="hps"/>
          <w:rFonts w:ascii="Lucida Sans Unicode" w:hAnsi="Lucida Sans Unicode" w:cs="Lucida Sans Unicode"/>
          <w:b/>
        </w:rPr>
        <w:t>Raspoloživa</w:t>
      </w:r>
      <w:r w:rsidRPr="00766991">
        <w:rPr>
          <w:rStyle w:val="hps"/>
          <w:b/>
        </w:rPr>
        <w:t xml:space="preserve"> </w:t>
      </w:r>
      <w:r w:rsidRPr="00766991">
        <w:rPr>
          <w:rStyle w:val="hps"/>
          <w:rFonts w:ascii="Lucida Sans Unicode" w:hAnsi="Lucida Sans Unicode" w:cs="Lucida Sans Unicode"/>
          <w:b/>
        </w:rPr>
        <w:t>sredstva</w:t>
      </w:r>
      <w:r w:rsidRPr="00766991">
        <w:rPr>
          <w:rStyle w:val="hps"/>
          <w:b/>
        </w:rPr>
        <w:t xml:space="preserve"> </w:t>
      </w:r>
      <w:r w:rsidRPr="00766991">
        <w:rPr>
          <w:rStyle w:val="hps"/>
          <w:rFonts w:ascii="Lucida Sans Unicode" w:hAnsi="Lucida Sans Unicode" w:cs="Lucida Sans Unicode"/>
          <w:b/>
        </w:rPr>
        <w:t>po</w:t>
      </w:r>
      <w:r w:rsidRPr="00766991">
        <w:rPr>
          <w:rStyle w:val="hps"/>
          <w:b/>
        </w:rPr>
        <w:t xml:space="preserve"> </w:t>
      </w:r>
      <w:r w:rsidR="009345F5" w:rsidRPr="00766991">
        <w:rPr>
          <w:rStyle w:val="hps"/>
          <w:rFonts w:ascii="Lucida Sans Unicode" w:hAnsi="Lucida Sans Unicode" w:cs="Lucida Sans Unicode"/>
          <w:b/>
        </w:rPr>
        <w:t>prijavitelju</w:t>
      </w:r>
      <w:r w:rsidRPr="00766991">
        <w:rPr>
          <w:rStyle w:val="hps"/>
          <w:rFonts w:ascii="Lucida Sans Unicode" w:hAnsi="Lucida Sans Unicode" w:cs="Lucida Sans Unicode"/>
          <w:b/>
        </w:rPr>
        <w:t xml:space="preserve"> (min. – </w:t>
      </w:r>
      <w:proofErr w:type="spellStart"/>
      <w:r w:rsidRPr="00766991">
        <w:rPr>
          <w:rStyle w:val="hps"/>
          <w:rFonts w:ascii="Lucida Sans Unicode" w:hAnsi="Lucida Sans Unicode" w:cs="Lucida Sans Unicode"/>
          <w:b/>
        </w:rPr>
        <w:t>maks</w:t>
      </w:r>
      <w:proofErr w:type="spellEnd"/>
      <w:r w:rsidRPr="00766991">
        <w:rPr>
          <w:rStyle w:val="hps"/>
          <w:rFonts w:ascii="Lucida Sans Unicode" w:hAnsi="Lucida Sans Unicode" w:cs="Lucida Sans Unicode"/>
          <w:b/>
        </w:rPr>
        <w:t>.</w:t>
      </w:r>
      <w:r w:rsidRPr="00766991">
        <w:rPr>
          <w:rStyle w:val="hps"/>
          <w:b/>
        </w:rPr>
        <w:t xml:space="preserve"> </w:t>
      </w:r>
      <w:r w:rsidRPr="00766991">
        <w:rPr>
          <w:rStyle w:val="hps"/>
          <w:rFonts w:ascii="Lucida Sans Unicode" w:hAnsi="Lucida Sans Unicode" w:cs="Lucida Sans Unicode"/>
          <w:b/>
        </w:rPr>
        <w:t>iznos</w:t>
      </w:r>
      <w:r w:rsidR="00D52FE9" w:rsidRPr="00766991">
        <w:rPr>
          <w:rStyle w:val="hps"/>
          <w:b/>
        </w:rPr>
        <w:t>)</w:t>
      </w:r>
    </w:p>
    <w:p w:rsidR="0064332B" w:rsidRPr="00766991" w:rsidRDefault="001E313F" w:rsidP="001E313F">
      <w:pPr>
        <w:tabs>
          <w:tab w:val="center" w:pos="4320"/>
          <w:tab w:val="right" w:pos="8640"/>
        </w:tabs>
        <w:spacing w:after="8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66991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Najniža vrijednost potpore, odnosno najniži iznos bespovratnih sredstava koji se može dodijeliti pojedinom projektu iznosi </w:t>
      </w:r>
      <w:r w:rsid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3</w:t>
      </w:r>
      <w:r w:rsidRPr="00766991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00.000 kuna. Ukupna državna potpora ne može prijeći prag od </w:t>
      </w:r>
      <w:r w:rsid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30</w:t>
      </w:r>
      <w:r w:rsidRPr="00766991">
        <w:rPr>
          <w:rStyle w:val="hps"/>
          <w:rFonts w:ascii="Lucida Sans Unicode" w:eastAsia="Times New Roman" w:hAnsi="Lucida Sans Unicode" w:cs="Lucida Sans Unicode"/>
          <w:bCs/>
          <w:lang w:eastAsia="ar-SA"/>
        </w:rPr>
        <w:t>.000.000 kuna.</w:t>
      </w:r>
    </w:p>
    <w:p w:rsidR="00D52FE9" w:rsidRPr="00766991" w:rsidRDefault="00440612" w:rsidP="0056783A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before="120" w:after="120" w:line="240" w:lineRule="auto"/>
        <w:ind w:left="714" w:hanging="357"/>
        <w:rPr>
          <w:rStyle w:val="hps"/>
          <w:rFonts w:ascii="Lucida Sans Unicode" w:hAnsi="Lucida Sans Unicode" w:cs="Lucida Sans Unicode"/>
          <w:b/>
        </w:rPr>
      </w:pPr>
      <w:r w:rsidRPr="00766991">
        <w:rPr>
          <w:rStyle w:val="hps"/>
          <w:rFonts w:ascii="Lucida Sans Unicode" w:hAnsi="Lucida Sans Unicode" w:cs="Lucida Sans Unicode"/>
          <w:b/>
        </w:rPr>
        <w:t>Predviđeni intenzitet potpore</w:t>
      </w:r>
    </w:p>
    <w:p w:rsidR="00762AFC" w:rsidRDefault="00762AFC" w:rsidP="00762AFC">
      <w:pPr>
        <w:tabs>
          <w:tab w:val="center" w:pos="4320"/>
          <w:tab w:val="right" w:pos="8640"/>
        </w:tabs>
        <w:spacing w:after="8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Ciljevi, uvjeti i postupci za dodjelu državnih potpora namijenjenih povećanju gospodarske aktivnosti i konkurentnosti malih i srednjih poduzeća za realizaciju projekata definiraju se  putem Programa dodjele državnih potpora za razvoj malog i srednjeg poduzetništva  (u daljnjem tekstu Program državnih potpora) te Programa dodjele potpora male vrijednosti za razvoj malog i srednjeg poduzetništva  (u daljnjem tekstu Program de </w:t>
      </w:r>
      <w:proofErr w:type="spellStart"/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minimis</w:t>
      </w:r>
      <w:proofErr w:type="spellEnd"/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). </w:t>
      </w:r>
    </w:p>
    <w:p w:rsidR="007C5BFE" w:rsidRPr="00762AFC" w:rsidRDefault="007C5BFE" w:rsidP="00762AFC">
      <w:pPr>
        <w:pStyle w:val="ListParagraph"/>
        <w:numPr>
          <w:ilvl w:val="0"/>
          <w:numId w:val="14"/>
        </w:numPr>
        <w:tabs>
          <w:tab w:val="center" w:pos="426"/>
          <w:tab w:val="center" w:pos="4320"/>
          <w:tab w:val="right" w:pos="8640"/>
        </w:tabs>
        <w:spacing w:after="0" w:line="240" w:lineRule="auto"/>
        <w:ind w:left="0" w:firstLine="0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Intenzitet regionalne potpore izračunava se sukladno Karti regionalnih potpora i Zaključku Vlade Republike Hrvatske, KLASA: 022-03/14-07/145, URBROJ: 50301-05/</w:t>
      </w:r>
      <w:proofErr w:type="spellStart"/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05</w:t>
      </w:r>
      <w:proofErr w:type="spellEnd"/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-14-2 od 24. travnja 2014. te iznosi 35% za srednje poduzetnike i 45% za mikro i male poduzetnike</w:t>
      </w:r>
      <w:r w:rsidR="009F1474"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. </w:t>
      </w:r>
      <w:r w:rsidR="009F1474"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ab/>
      </w:r>
      <w:r w:rsid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Iznos</w:t>
      </w:r>
      <w:r w:rsidR="009F1474"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regionalne potpore (maksimalni iznos potpore)  ne može prijeći prag od </w:t>
      </w:r>
      <w:r w:rsid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30</w:t>
      </w:r>
      <w:r w:rsidR="009F1474"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.000.000 kuna</w:t>
      </w:r>
    </w:p>
    <w:p w:rsidR="009F1474" w:rsidRDefault="007C5BFE" w:rsidP="009F1474">
      <w:pPr>
        <w:pStyle w:val="ListParagraph"/>
        <w:numPr>
          <w:ilvl w:val="0"/>
          <w:numId w:val="14"/>
        </w:numPr>
        <w:tabs>
          <w:tab w:val="center" w:pos="426"/>
          <w:tab w:val="center" w:pos="4320"/>
          <w:tab w:val="right" w:pos="8640"/>
        </w:tabs>
        <w:spacing w:after="0" w:line="240" w:lineRule="auto"/>
        <w:ind w:left="0" w:firstLine="0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9F1474">
        <w:rPr>
          <w:rStyle w:val="hps"/>
          <w:rFonts w:ascii="Lucida Sans Unicode" w:eastAsia="Times New Roman" w:hAnsi="Lucida Sans Unicode" w:cs="Lucida Sans Unicode"/>
          <w:bCs/>
          <w:lang w:eastAsia="ar-SA"/>
        </w:rPr>
        <w:t>Intenzitet potpore za savjetodavne usluge u korist malih i srednjih poduzeća ne može prelaziti 50% prihvatljivih troškova.</w:t>
      </w:r>
      <w:r w:rsidR="009F1474" w:rsidRPr="009F1474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</w:t>
      </w:r>
      <w:r w:rsid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Iznos</w:t>
      </w:r>
      <w:r w:rsidR="009F1474" w:rsidRPr="009F1474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potpore (maksimalni iznos potpore) za savjetodavne usluge ne može prijeći prag od</w:t>
      </w:r>
      <w:r w:rsidR="009F1474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</w:t>
      </w:r>
      <w:r w:rsidR="009F1474" w:rsidRPr="009F1474">
        <w:rPr>
          <w:rStyle w:val="hps"/>
          <w:rFonts w:ascii="Lucida Sans Unicode" w:eastAsia="Times New Roman" w:hAnsi="Lucida Sans Unicode" w:cs="Lucida Sans Unicode"/>
          <w:bCs/>
          <w:lang w:eastAsia="ar-SA"/>
        </w:rPr>
        <w:t>2.000.000 kuna po poduzetniku po projektu.</w:t>
      </w:r>
    </w:p>
    <w:p w:rsidR="009F1474" w:rsidRPr="009F1474" w:rsidRDefault="007C5BFE" w:rsidP="009F1474">
      <w:pPr>
        <w:pStyle w:val="ListParagraph"/>
        <w:numPr>
          <w:ilvl w:val="0"/>
          <w:numId w:val="14"/>
        </w:numPr>
        <w:tabs>
          <w:tab w:val="center" w:pos="426"/>
          <w:tab w:val="center" w:pos="4320"/>
          <w:tab w:val="right" w:pos="8640"/>
        </w:tabs>
        <w:spacing w:after="0" w:line="240" w:lineRule="auto"/>
        <w:ind w:left="0" w:firstLine="0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9F1474">
        <w:rPr>
          <w:rStyle w:val="hps"/>
          <w:rFonts w:ascii="Lucida Sans Unicode" w:eastAsia="Times New Roman" w:hAnsi="Lucida Sans Unicode" w:cs="Lucida Sans Unicode"/>
          <w:bCs/>
          <w:lang w:eastAsia="ar-SA"/>
        </w:rPr>
        <w:lastRenderedPageBreak/>
        <w:tab/>
        <w:t>Intenzitet potpore MSP-u za sudjelovanje na sajmovima ne može prelaziti 50% prihvatljivih troškova.</w:t>
      </w:r>
      <w:r w:rsidR="009F1474" w:rsidRPr="009F1474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</w:t>
      </w:r>
      <w:r w:rsid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Iznos</w:t>
      </w:r>
      <w:r w:rsidR="009F1474" w:rsidRPr="009F1474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potpore (maksimalni iznos potpore) za sudjelovanje na sajmovima ne može prijeći prag od 1.000.000 kuna.</w:t>
      </w:r>
    </w:p>
    <w:p w:rsidR="007C5BFE" w:rsidRPr="007C5BFE" w:rsidRDefault="007C5BFE" w:rsidP="009F1474">
      <w:pPr>
        <w:pStyle w:val="ListParagraph"/>
        <w:numPr>
          <w:ilvl w:val="0"/>
          <w:numId w:val="14"/>
        </w:numPr>
        <w:tabs>
          <w:tab w:val="center" w:pos="426"/>
          <w:tab w:val="center" w:pos="4320"/>
          <w:tab w:val="right" w:pos="8640"/>
        </w:tabs>
        <w:spacing w:after="0" w:line="240" w:lineRule="auto"/>
        <w:ind w:left="0" w:firstLine="0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>Potpore za usavršavanje dodijelit će se u sljedećim intenzitetima :</w:t>
      </w:r>
    </w:p>
    <w:p w:rsidR="007C5BFE" w:rsidRPr="007C5BFE" w:rsidRDefault="007C5BFE" w:rsidP="007C5BFE">
      <w:pPr>
        <w:pStyle w:val="ListParagraph"/>
        <w:numPr>
          <w:ilvl w:val="0"/>
          <w:numId w:val="12"/>
        </w:numPr>
        <w:tabs>
          <w:tab w:val="center" w:pos="4320"/>
          <w:tab w:val="right" w:pos="8640"/>
        </w:tabs>
        <w:spacing w:after="8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za srednja poduzeća 60% opravdanih troškova, odnosno 70% opravdanih troškova ako se usavršavanje provodi za radnike s invaliditetom ili radnike u nepovoljnom položaju; </w:t>
      </w:r>
    </w:p>
    <w:p w:rsidR="007C5BFE" w:rsidRPr="007C5BFE" w:rsidRDefault="007C5BFE" w:rsidP="007C5BFE">
      <w:pPr>
        <w:pStyle w:val="ListParagraph"/>
        <w:numPr>
          <w:ilvl w:val="0"/>
          <w:numId w:val="12"/>
        </w:numPr>
        <w:tabs>
          <w:tab w:val="center" w:pos="4320"/>
          <w:tab w:val="right" w:pos="8640"/>
        </w:tabs>
        <w:spacing w:after="8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>za mala i mikro poduzeća 70% opravdanih troškova.</w:t>
      </w:r>
    </w:p>
    <w:p w:rsidR="001E313F" w:rsidRDefault="00762AFC" w:rsidP="009F1474">
      <w:pPr>
        <w:tabs>
          <w:tab w:val="center" w:pos="4320"/>
          <w:tab w:val="right" w:pos="8640"/>
        </w:tabs>
        <w:spacing w:after="8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>
        <w:rPr>
          <w:rStyle w:val="hps"/>
          <w:rFonts w:ascii="Lucida Sans Unicode" w:eastAsia="Times New Roman" w:hAnsi="Lucida Sans Unicode" w:cs="Lucida Sans Unicode"/>
          <w:bCs/>
          <w:lang w:eastAsia="ar-SA"/>
        </w:rPr>
        <w:t>Iznos</w:t>
      </w:r>
      <w:r w:rsidR="009F1474" w:rsidRPr="009F1474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potpore (maksimalni iznos potpore) za usavršavanje ne može prijeći prag od 2.000.000 kuna.</w:t>
      </w:r>
    </w:p>
    <w:p w:rsidR="00762AFC" w:rsidRDefault="007E4BA8" w:rsidP="0067402D">
      <w:pPr>
        <w:pStyle w:val="ListParagraph"/>
        <w:numPr>
          <w:ilvl w:val="0"/>
          <w:numId w:val="14"/>
        </w:numPr>
        <w:tabs>
          <w:tab w:val="center" w:pos="426"/>
          <w:tab w:val="center" w:pos="4320"/>
          <w:tab w:val="right" w:pos="8640"/>
        </w:tabs>
        <w:spacing w:after="120" w:line="240" w:lineRule="auto"/>
        <w:ind w:left="0" w:firstLine="0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>
        <w:rPr>
          <w:rStyle w:val="hps"/>
          <w:rFonts w:ascii="Lucida Sans Unicode" w:eastAsia="Times New Roman" w:hAnsi="Lucida Sans Unicode" w:cs="Lucida Sans Unicode"/>
          <w:bCs/>
          <w:lang w:eastAsia="ar-SA"/>
        </w:rPr>
        <w:t>Intenzitet p</w:t>
      </w:r>
      <w:r w:rsidR="00762AFC"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otpore male vrijednosti (de </w:t>
      </w:r>
      <w:proofErr w:type="spellStart"/>
      <w:r w:rsidR="00762AFC"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minimis</w:t>
      </w:r>
      <w:proofErr w:type="spellEnd"/>
      <w:r w:rsidR="00762AFC"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)</w:t>
      </w:r>
      <w:r w:rsid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</w:t>
      </w:r>
      <w:r w:rsidRPr="007E4BA8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ne može prelaziti </w:t>
      </w:r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75%.</w:t>
      </w:r>
      <w:r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</w:t>
      </w:r>
      <w:r w:rsidR="00762AFC"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Najviši iznos bespovratnih sredstava koji se može dodijeliti pojedinom poduzetniku iznosi 1.500.000 kuna, uzimajući u obzir da su ograničenja vezana za pragove dodjele potpore male vrijednosti utvrđena u članku 3. de </w:t>
      </w:r>
      <w:proofErr w:type="spellStart"/>
      <w:r w:rsidR="00762AFC"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minimis</w:t>
      </w:r>
      <w:proofErr w:type="spellEnd"/>
      <w:r w:rsidR="00762AFC"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Uredbe poštovana.</w:t>
      </w:r>
    </w:p>
    <w:p w:rsidR="00762AFC" w:rsidRPr="009F1474" w:rsidRDefault="00762AFC" w:rsidP="00762AFC">
      <w:pPr>
        <w:tabs>
          <w:tab w:val="center" w:pos="4320"/>
          <w:tab w:val="right" w:pos="8640"/>
        </w:tabs>
        <w:spacing w:after="8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Potpore </w:t>
      </w:r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za savjetodavne usluge</w:t>
      </w:r>
      <w:r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, </w:t>
      </w:r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za sudjelovanje na sajmovima</w:t>
      </w:r>
      <w:r>
        <w:rPr>
          <w:rStyle w:val="hps"/>
          <w:rFonts w:ascii="Lucida Sans Unicode" w:eastAsia="Times New Roman" w:hAnsi="Lucida Sans Unicode" w:cs="Lucida Sans Unicode"/>
          <w:bCs/>
          <w:lang w:eastAsia="ar-SA"/>
        </w:rPr>
        <w:t>,</w:t>
      </w:r>
      <w:r w:rsidRPr="00762AFC">
        <w:t xml:space="preserve"> </w:t>
      </w:r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za usavršavanje</w:t>
      </w:r>
      <w:r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te potpore male vrijednosti</w:t>
      </w:r>
      <w:r w:rsidRPr="00762AFC">
        <w:t xml:space="preserve"> </w:t>
      </w:r>
      <w:r w:rsidRPr="00762AF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mogu se dodijeliti isključivo pod uvjetom da su izravno vezane za projekt za koji se dodjeljuje regionalna potpora.</w:t>
      </w:r>
    </w:p>
    <w:p w:rsidR="00D52FE9" w:rsidRPr="00766991" w:rsidRDefault="00BF18E3" w:rsidP="009F1474">
      <w:pPr>
        <w:pStyle w:val="ListParagraph"/>
        <w:numPr>
          <w:ilvl w:val="0"/>
          <w:numId w:val="14"/>
        </w:numPr>
        <w:tabs>
          <w:tab w:val="center" w:pos="4320"/>
          <w:tab w:val="right" w:pos="8640"/>
        </w:tabs>
        <w:spacing w:before="120" w:after="120" w:line="240" w:lineRule="auto"/>
        <w:rPr>
          <w:rStyle w:val="hps"/>
          <w:rFonts w:ascii="Lucida Sans Unicode" w:hAnsi="Lucida Sans Unicode" w:cs="Lucida Sans Unicode"/>
          <w:b/>
        </w:rPr>
      </w:pPr>
      <w:r w:rsidRPr="00766991">
        <w:rPr>
          <w:rStyle w:val="hps"/>
          <w:rFonts w:ascii="Lucida Sans Unicode" w:hAnsi="Lucida Sans Unicode" w:cs="Lucida Sans Unicode"/>
          <w:b/>
        </w:rPr>
        <w:t>Pr</w:t>
      </w:r>
      <w:r w:rsidR="000524BE" w:rsidRPr="00766991">
        <w:rPr>
          <w:rStyle w:val="hps"/>
          <w:rFonts w:ascii="Lucida Sans Unicode" w:hAnsi="Lucida Sans Unicode" w:cs="Lucida Sans Unicode"/>
          <w:b/>
        </w:rPr>
        <w:t>i</w:t>
      </w:r>
      <w:r w:rsidR="00B9154C" w:rsidRPr="00766991">
        <w:rPr>
          <w:rStyle w:val="hps"/>
          <w:rFonts w:ascii="Lucida Sans Unicode" w:hAnsi="Lucida Sans Unicode" w:cs="Lucida Sans Unicode"/>
          <w:b/>
        </w:rPr>
        <w:t>hvatljivi pr</w:t>
      </w:r>
      <w:r w:rsidR="00D52FE9" w:rsidRPr="00766991">
        <w:rPr>
          <w:rStyle w:val="hps"/>
          <w:rFonts w:ascii="Lucida Sans Unicode" w:hAnsi="Lucida Sans Unicode" w:cs="Lucida Sans Unicode"/>
          <w:b/>
        </w:rPr>
        <w:t>ijavitelji</w:t>
      </w:r>
    </w:p>
    <w:p w:rsidR="0064332B" w:rsidRPr="00766991" w:rsidRDefault="001E313F" w:rsidP="0064332B">
      <w:pPr>
        <w:tabs>
          <w:tab w:val="center" w:pos="4320"/>
          <w:tab w:val="right" w:pos="8640"/>
        </w:tabs>
        <w:spacing w:after="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66991">
        <w:rPr>
          <w:rStyle w:val="hps"/>
          <w:rFonts w:ascii="Lucida Sans Unicode" w:eastAsia="Times New Roman" w:hAnsi="Lucida Sans Unicode" w:cs="Lucida Sans Unicode"/>
          <w:bCs/>
          <w:lang w:eastAsia="ar-SA"/>
        </w:rPr>
        <w:t>Prijavitelji moraju biti pravne ili fizičke osobe koje su mikro, malo ili srednje poduzeće sukladno definiciji malih i srednjih poduzeća na način utvrđen u Prilogu I. Definicija malih i srednjih poduzeća Uredbe 651/2014.</w:t>
      </w:r>
    </w:p>
    <w:p w:rsidR="00D52FE9" w:rsidRPr="00766991" w:rsidRDefault="00BF18E3" w:rsidP="009F1474">
      <w:pPr>
        <w:pStyle w:val="ListParagraph"/>
        <w:numPr>
          <w:ilvl w:val="0"/>
          <w:numId w:val="14"/>
        </w:numPr>
        <w:tabs>
          <w:tab w:val="center" w:pos="4320"/>
          <w:tab w:val="right" w:pos="8640"/>
        </w:tabs>
        <w:spacing w:before="120" w:after="120" w:line="240" w:lineRule="auto"/>
        <w:rPr>
          <w:rStyle w:val="hps"/>
          <w:rFonts w:ascii="Lucida Sans Unicode" w:hAnsi="Lucida Sans Unicode" w:cs="Lucida Sans Unicode"/>
          <w:b/>
        </w:rPr>
      </w:pPr>
      <w:r w:rsidRPr="00766991">
        <w:rPr>
          <w:rStyle w:val="hps"/>
          <w:rFonts w:ascii="Lucida Sans Unicode" w:hAnsi="Lucida Sans Unicode" w:cs="Lucida Sans Unicode"/>
          <w:b/>
        </w:rPr>
        <w:t>Prihvatljive aktivnosti</w:t>
      </w:r>
      <w:r w:rsidR="00E446C9" w:rsidRPr="00766991">
        <w:rPr>
          <w:rStyle w:val="hps"/>
          <w:rFonts w:ascii="Lucida Sans Unicode" w:hAnsi="Lucida Sans Unicode" w:cs="Lucida Sans Unicode"/>
          <w:b/>
        </w:rPr>
        <w:t>:</w:t>
      </w:r>
    </w:p>
    <w:p w:rsidR="0056258C" w:rsidRDefault="0056258C" w:rsidP="0056258C">
      <w:pPr>
        <w:pStyle w:val="ListParagraph"/>
        <w:numPr>
          <w:ilvl w:val="0"/>
          <w:numId w:val="17"/>
        </w:numPr>
        <w:tabs>
          <w:tab w:val="center" w:pos="426"/>
          <w:tab w:val="center" w:pos="4320"/>
          <w:tab w:val="right" w:pos="8640"/>
        </w:tabs>
        <w:spacing w:after="0" w:line="240" w:lineRule="auto"/>
        <w:ind w:left="0" w:firstLine="0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56258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Regionalne potpore dodjeljuju se za početno ulaganje. Opravdani su troškovi ulaganja u materijalnu i nematerijalnu imovinu, a uključuju slijedeće troškove: priprema zemljišta; krčenje zemljišta; trošak gradnje, rekonstrukcije, modernizacije zgrada, poslovnih prostorija, drugih objekata i njihovog neposrednog okruženja i okoline, direktno povezanima s rezultatima projekta; komunalni doprinos, cijene vodnih i energetskih priključaka, trošak uporabne dozvole; nabava novih strojeva, opreme, alata, radnih vozila te s njima povezani troškovi aktiviranja, transporta, montaže i stavljanja u pogon, ako ih u pogon stavlja dobavljač; troškovi montaže opreme i strojeva također su prihvatljivi ako su prikazani na istom računu s nabavljenom opremom te predstavljaju sastavni dio nabave opreme; ulaganja u mjere energetske učinkovitosti, povezana sa svrhom projekta; nabava mjernih uređaja povezanih s projektom; troškovi informatičko-komunikacijskih i audio/video rješenja (hardver i softver) koji su izravno povezani sa svrhom projekta; nabava patenata, autorskih prava, znanja ili drugih vrsta intelektualnog vlasništva, ako udovoljava čl. 7 Programa potpora.</w:t>
      </w:r>
    </w:p>
    <w:p w:rsidR="007C5BFE" w:rsidRPr="007C5BFE" w:rsidRDefault="007C5BFE" w:rsidP="0056258C">
      <w:pPr>
        <w:pStyle w:val="ListParagraph"/>
        <w:numPr>
          <w:ilvl w:val="0"/>
          <w:numId w:val="17"/>
        </w:numPr>
        <w:tabs>
          <w:tab w:val="center" w:pos="426"/>
          <w:tab w:val="center" w:pos="4320"/>
          <w:tab w:val="right" w:pos="8640"/>
        </w:tabs>
        <w:spacing w:after="120" w:line="240" w:lineRule="auto"/>
        <w:ind w:left="0" w:firstLine="0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>Potpore za savjetodavne usluge</w:t>
      </w:r>
      <w:r w:rsid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</w:t>
      </w: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ab/>
      </w:r>
      <w:r w:rsidR="00FC6625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</w:t>
      </w:r>
      <w:r w:rsid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>mogu se dodijeliti za</w:t>
      </w: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troškov</w:t>
      </w:r>
      <w:r w:rsid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>e</w:t>
      </w: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savjetodavnih usluga koje pružaju vanjski konzultanti</w:t>
      </w:r>
      <w:r w:rsidR="00FC6625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i </w:t>
      </w: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>koj</w:t>
      </w:r>
      <w:r w:rsidR="00FC6625">
        <w:rPr>
          <w:rStyle w:val="hps"/>
          <w:rFonts w:ascii="Lucida Sans Unicode" w:eastAsia="Times New Roman" w:hAnsi="Lucida Sans Unicode" w:cs="Lucida Sans Unicode"/>
          <w:bCs/>
          <w:lang w:eastAsia="ar-SA"/>
        </w:rPr>
        <w:t>e</w:t>
      </w: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nisu vezan</w:t>
      </w:r>
      <w:r w:rsidR="00FC6625">
        <w:rPr>
          <w:rStyle w:val="hps"/>
          <w:rFonts w:ascii="Lucida Sans Unicode" w:eastAsia="Times New Roman" w:hAnsi="Lucida Sans Unicode" w:cs="Lucida Sans Unicode"/>
          <w:bCs/>
          <w:lang w:eastAsia="ar-SA"/>
        </w:rPr>
        <w:t>e</w:t>
      </w: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uz stalne ili periodične </w:t>
      </w: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lastRenderedPageBreak/>
        <w:t>aktivnosti</w:t>
      </w:r>
      <w:r w:rsidR="0056258C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, </w:t>
      </w:r>
      <w:r w:rsidR="0056258C" w:rsidRPr="0056258C">
        <w:rPr>
          <w:rStyle w:val="hps"/>
          <w:rFonts w:ascii="Lucida Sans Unicode" w:eastAsia="Times New Roman" w:hAnsi="Lucida Sans Unicode" w:cs="Lucida Sans Unicode"/>
          <w:bCs/>
          <w:lang w:eastAsia="ar-SA"/>
        </w:rPr>
        <w:t>a uključuju troškove: usluga upravljanja projektom; usluga provedbe javne nabave za potrebe projekta; usluga izrade natječajne (javna nabava) i provedbene dokumentacije (npr. izvedbeni projekt); usluge revizije za verifikaciju troškova projekta.</w:t>
      </w:r>
    </w:p>
    <w:p w:rsidR="007C5BFE" w:rsidRPr="007C5BFE" w:rsidRDefault="007C5BFE" w:rsidP="009F1474">
      <w:pPr>
        <w:pStyle w:val="ListParagraph"/>
        <w:numPr>
          <w:ilvl w:val="0"/>
          <w:numId w:val="17"/>
        </w:numPr>
        <w:tabs>
          <w:tab w:val="center" w:pos="426"/>
          <w:tab w:val="center" w:pos="4320"/>
          <w:tab w:val="right" w:pos="8640"/>
        </w:tabs>
        <w:spacing w:after="0" w:line="240" w:lineRule="auto"/>
        <w:ind w:left="0" w:firstLine="0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Potpore za sudjelovanje na sajmovima, mogu se dodijeliti </w:t>
      </w:r>
      <w:r w:rsid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za </w:t>
      </w: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>troškov</w:t>
      </w:r>
      <w:r w:rsid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>e</w:t>
      </w: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nastal</w:t>
      </w:r>
      <w:r w:rsid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>e</w:t>
      </w: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za najam, uređivanje i vođenje štanda pri sudjelovanju poduzetnika na određenom sajmu ili izložbi s ciljem predstavljanja proizvoda koji je rezultat investicije za koju je odobrena potpora.</w:t>
      </w:r>
    </w:p>
    <w:p w:rsidR="007C5BFE" w:rsidRDefault="007C5BFE" w:rsidP="009F1474">
      <w:pPr>
        <w:pStyle w:val="ListParagraph"/>
        <w:numPr>
          <w:ilvl w:val="0"/>
          <w:numId w:val="17"/>
        </w:numPr>
        <w:tabs>
          <w:tab w:val="center" w:pos="426"/>
          <w:tab w:val="center" w:pos="4320"/>
          <w:tab w:val="right" w:pos="8640"/>
        </w:tabs>
        <w:spacing w:after="120" w:line="240" w:lineRule="auto"/>
        <w:ind w:left="0" w:firstLine="0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C5BFE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Potpore za usavršavanje, se ne mogu  dodijeliti  za usavršavanje koje korisnici provode radi osiguravanja sukladnosti s obveznim nacionalnim normama o usavršavanju. </w:t>
      </w:r>
    </w:p>
    <w:p w:rsidR="00711EF9" w:rsidRPr="00711EF9" w:rsidRDefault="00711EF9" w:rsidP="0056258C">
      <w:pPr>
        <w:pStyle w:val="ListParagraph"/>
        <w:numPr>
          <w:ilvl w:val="0"/>
          <w:numId w:val="17"/>
        </w:numPr>
        <w:tabs>
          <w:tab w:val="center" w:pos="426"/>
          <w:tab w:val="center" w:pos="4320"/>
          <w:tab w:val="right" w:pos="8640"/>
        </w:tabs>
        <w:spacing w:after="120" w:line="240" w:lineRule="auto"/>
        <w:ind w:left="0" w:firstLine="0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>Potpore male vrijednosti mogu se dodijeliti</w:t>
      </w:r>
      <w:r w:rsidRPr="00711EF9">
        <w:t xml:space="preserve"> </w:t>
      </w:r>
      <w:r w:rsidRP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za troškove pripreme natječajne dokumentacije za projekt ulaganja, troškove </w:t>
      </w:r>
      <w:r w:rsidR="00673FAD" w:rsidRP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>vezan</w:t>
      </w:r>
      <w:r w:rsidR="00673FAD">
        <w:rPr>
          <w:rStyle w:val="hps"/>
          <w:rFonts w:ascii="Lucida Sans Unicode" w:eastAsia="Times New Roman" w:hAnsi="Lucida Sans Unicode" w:cs="Lucida Sans Unicode"/>
          <w:bCs/>
          <w:lang w:eastAsia="ar-SA"/>
        </w:rPr>
        <w:t>e</w:t>
      </w:r>
      <w:r w:rsidR="00673FAD" w:rsidRP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</w:t>
      </w:r>
      <w:r w:rsidRP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>za implementaciju sustava grijanja i hlađenja</w:t>
      </w:r>
      <w:r w:rsidR="0056258C" w:rsidRPr="0056258C">
        <w:t xml:space="preserve"> </w:t>
      </w:r>
      <w:r w:rsidRP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te </w:t>
      </w:r>
      <w:r>
        <w:rPr>
          <w:rStyle w:val="hps"/>
          <w:rFonts w:ascii="Lucida Sans Unicode" w:eastAsia="Times New Roman" w:hAnsi="Lucida Sans Unicode" w:cs="Lucida Sans Unicode"/>
          <w:bCs/>
          <w:lang w:eastAsia="ar-SA"/>
        </w:rPr>
        <w:t>t</w:t>
      </w:r>
      <w:r w:rsidRP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>roškov</w:t>
      </w:r>
      <w:r>
        <w:rPr>
          <w:rStyle w:val="hps"/>
          <w:rFonts w:ascii="Lucida Sans Unicode" w:eastAsia="Times New Roman" w:hAnsi="Lucida Sans Unicode" w:cs="Lucida Sans Unicode"/>
          <w:bCs/>
          <w:lang w:eastAsia="ar-SA"/>
        </w:rPr>
        <w:t>e</w:t>
      </w:r>
      <w:r w:rsidRPr="00711EF9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vezani za aktivnosti promocije i vidljivosti projekta ulaganja.</w:t>
      </w:r>
    </w:p>
    <w:p w:rsidR="009F1474" w:rsidRPr="007C5BFE" w:rsidRDefault="009F1474" w:rsidP="009F1474">
      <w:pPr>
        <w:pStyle w:val="ListParagraph"/>
        <w:tabs>
          <w:tab w:val="center" w:pos="426"/>
          <w:tab w:val="center" w:pos="4320"/>
          <w:tab w:val="right" w:pos="8640"/>
        </w:tabs>
        <w:spacing w:after="0" w:line="240" w:lineRule="auto"/>
        <w:ind w:left="0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</w:p>
    <w:p w:rsidR="0064332B" w:rsidRPr="007C5BFE" w:rsidRDefault="00BF18E3" w:rsidP="009F1474">
      <w:pPr>
        <w:pStyle w:val="ListParagraph"/>
        <w:numPr>
          <w:ilvl w:val="0"/>
          <w:numId w:val="14"/>
        </w:numPr>
        <w:tabs>
          <w:tab w:val="center" w:pos="4320"/>
          <w:tab w:val="right" w:pos="8640"/>
        </w:tabs>
        <w:spacing w:after="120" w:line="240" w:lineRule="auto"/>
        <w:ind w:left="714" w:hanging="357"/>
        <w:rPr>
          <w:rStyle w:val="hps"/>
          <w:rFonts w:ascii="Lucida Sans Unicode" w:hAnsi="Lucida Sans Unicode" w:cs="Lucida Sans Unicode"/>
          <w:b/>
        </w:rPr>
      </w:pPr>
      <w:r w:rsidRPr="00766991">
        <w:rPr>
          <w:rStyle w:val="hps"/>
          <w:rFonts w:ascii="Lucida Sans Unicode" w:hAnsi="Lucida Sans Unicode" w:cs="Lucida Sans Unicode"/>
          <w:b/>
        </w:rPr>
        <w:t>Geografsk</w:t>
      </w:r>
      <w:r w:rsidR="000524BE" w:rsidRPr="00766991">
        <w:rPr>
          <w:rStyle w:val="hps"/>
          <w:rFonts w:ascii="Lucida Sans Unicode" w:hAnsi="Lucida Sans Unicode" w:cs="Lucida Sans Unicode"/>
          <w:b/>
        </w:rPr>
        <w:t>a</w:t>
      </w:r>
      <w:r w:rsidRPr="007C5BFE">
        <w:rPr>
          <w:rStyle w:val="hps"/>
          <w:rFonts w:ascii="Lucida Sans Unicode" w:hAnsi="Lucida Sans Unicode" w:cs="Lucida Sans Unicode"/>
          <w:b/>
        </w:rPr>
        <w:t xml:space="preserve"> </w:t>
      </w:r>
      <w:r w:rsidRPr="00766991">
        <w:rPr>
          <w:rStyle w:val="hps"/>
          <w:rFonts w:ascii="Lucida Sans Unicode" w:hAnsi="Lucida Sans Unicode" w:cs="Lucida Sans Unicode"/>
          <w:b/>
        </w:rPr>
        <w:t>ograničenja</w:t>
      </w:r>
      <w:r w:rsidRPr="007C5BFE">
        <w:rPr>
          <w:rStyle w:val="hps"/>
          <w:rFonts w:ascii="Lucida Sans Unicode" w:hAnsi="Lucida Sans Unicode" w:cs="Lucida Sans Unicode"/>
          <w:b/>
        </w:rPr>
        <w:t xml:space="preserve"> </w:t>
      </w:r>
    </w:p>
    <w:p w:rsidR="0064332B" w:rsidRPr="00766991" w:rsidRDefault="00E446C9" w:rsidP="0064332B">
      <w:pPr>
        <w:tabs>
          <w:tab w:val="center" w:pos="4320"/>
          <w:tab w:val="right" w:pos="8640"/>
        </w:tabs>
        <w:spacing w:after="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766991">
        <w:rPr>
          <w:rStyle w:val="hps"/>
          <w:rFonts w:ascii="Lucida Sans Unicode" w:eastAsia="Times New Roman" w:hAnsi="Lucida Sans Unicode" w:cs="Lucida Sans Unicode"/>
          <w:bCs/>
          <w:lang w:eastAsia="ar-SA"/>
        </w:rPr>
        <w:t>Projektne aktivnosti moraju se provoditi u Republici Hrvatskoj, s iznimkom sudjelovanja na međunarodnim sajmovima.</w:t>
      </w:r>
    </w:p>
    <w:p w:rsidR="003521EE" w:rsidRDefault="00B9154C" w:rsidP="009F1474">
      <w:pPr>
        <w:pStyle w:val="ListParagraph"/>
        <w:numPr>
          <w:ilvl w:val="0"/>
          <w:numId w:val="14"/>
        </w:numPr>
        <w:tabs>
          <w:tab w:val="center" w:pos="4320"/>
          <w:tab w:val="right" w:pos="8640"/>
        </w:tabs>
        <w:spacing w:before="120" w:after="120" w:line="240" w:lineRule="auto"/>
        <w:rPr>
          <w:rFonts w:ascii="Lucida Sans Unicode" w:eastAsia="Times New Roman" w:hAnsi="Lucida Sans Unicode" w:cs="Lucida Sans Unicode"/>
          <w:b/>
          <w:bCs/>
          <w:lang w:eastAsia="ar-SA"/>
        </w:rPr>
      </w:pPr>
      <w:r w:rsidRPr="00766991">
        <w:rPr>
          <w:rStyle w:val="hps"/>
          <w:rFonts w:ascii="Lucida Sans Unicode" w:hAnsi="Lucida Sans Unicode" w:cs="Lucida Sans Unicode"/>
          <w:b/>
        </w:rPr>
        <w:t>Administrativni podaci</w:t>
      </w:r>
      <w:r w:rsidR="00D52FE9" w:rsidRPr="00766991">
        <w:rPr>
          <w:rStyle w:val="hps"/>
          <w:rFonts w:ascii="Lucida Sans Unicode" w:hAnsi="Lucida Sans Unicode" w:cs="Lucida Sans Unicode"/>
          <w:b/>
        </w:rPr>
        <w:t xml:space="preserve"> </w:t>
      </w:r>
      <w:r w:rsidR="00BF18E3" w:rsidRPr="00766991">
        <w:rPr>
          <w:rStyle w:val="hps"/>
          <w:rFonts w:ascii="Lucida Sans Unicode" w:hAnsi="Lucida Sans Unicode" w:cs="Lucida Sans Unicode"/>
          <w:b/>
        </w:rPr>
        <w:t>(rok</w:t>
      </w:r>
      <w:r w:rsidR="00BF18E3" w:rsidRPr="00766991">
        <w:rPr>
          <w:rFonts w:ascii="Lucida Sans Unicode" w:hAnsi="Lucida Sans Unicode" w:cs="Lucida Sans Unicode"/>
          <w:b/>
        </w:rPr>
        <w:t xml:space="preserve">, </w:t>
      </w:r>
      <w:r w:rsidR="00BF18E3" w:rsidRPr="00766991">
        <w:rPr>
          <w:rStyle w:val="hps"/>
          <w:rFonts w:ascii="Lucida Sans Unicode" w:hAnsi="Lucida Sans Unicode" w:cs="Lucida Sans Unicode"/>
          <w:b/>
        </w:rPr>
        <w:t>oblik</w:t>
      </w:r>
      <w:r w:rsidR="00BF18E3" w:rsidRPr="00766991">
        <w:rPr>
          <w:rFonts w:ascii="Lucida Sans Unicode" w:hAnsi="Lucida Sans Unicode" w:cs="Lucida Sans Unicode"/>
          <w:b/>
        </w:rPr>
        <w:t xml:space="preserve"> </w:t>
      </w:r>
      <w:r w:rsidR="00BF18E3" w:rsidRPr="00766991">
        <w:rPr>
          <w:rStyle w:val="hps"/>
          <w:rFonts w:ascii="Lucida Sans Unicode" w:hAnsi="Lucida Sans Unicode" w:cs="Lucida Sans Unicode"/>
          <w:b/>
        </w:rPr>
        <w:t>i mjesto</w:t>
      </w:r>
      <w:r w:rsidR="00BF18E3" w:rsidRPr="00766991">
        <w:rPr>
          <w:rFonts w:ascii="Lucida Sans Unicode" w:hAnsi="Lucida Sans Unicode" w:cs="Lucida Sans Unicode"/>
          <w:b/>
        </w:rPr>
        <w:t xml:space="preserve"> </w:t>
      </w:r>
      <w:r w:rsidR="00BF18E3" w:rsidRPr="00766991">
        <w:rPr>
          <w:rStyle w:val="hps"/>
          <w:rFonts w:ascii="Lucida Sans Unicode" w:hAnsi="Lucida Sans Unicode" w:cs="Lucida Sans Unicode"/>
          <w:b/>
        </w:rPr>
        <w:t>podnošenja</w:t>
      </w:r>
      <w:r w:rsidR="00BF18E3" w:rsidRPr="00766991">
        <w:rPr>
          <w:rFonts w:ascii="Arial" w:hAnsi="Arial" w:cs="Arial"/>
          <w:b/>
        </w:rPr>
        <w:t>)</w:t>
      </w:r>
    </w:p>
    <w:p w:rsidR="007C5BFE" w:rsidRPr="00E446C9" w:rsidRDefault="007C5BFE" w:rsidP="007C5BFE">
      <w:pPr>
        <w:tabs>
          <w:tab w:val="center" w:pos="4320"/>
          <w:tab w:val="right" w:pos="8640"/>
        </w:tabs>
        <w:spacing w:after="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E446C9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Projektne prijave podnose se u jednom zatvorenom paketu/omotnici isključivo preporučenom poštanskom pošiljkom ili osobnom dostavom  </w:t>
      </w:r>
      <w:r w:rsidRPr="00E446C9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 xml:space="preserve">od </w:t>
      </w:r>
      <w:r w:rsidR="00BB429E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>20.lipnja</w:t>
      </w:r>
      <w:r w:rsidRPr="00E446C9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 xml:space="preserve"> 201</w:t>
      </w:r>
      <w:r w:rsidR="00711EF9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>6</w:t>
      </w:r>
      <w:r w:rsidRPr="00E446C9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>.</w:t>
      </w:r>
      <w:r w:rsidRPr="00E446C9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 </w:t>
      </w:r>
      <w:r w:rsidRPr="00BB429E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godine </w:t>
      </w:r>
      <w:r w:rsidRPr="00E446C9">
        <w:rPr>
          <w:rStyle w:val="hps"/>
          <w:rFonts w:ascii="Lucida Sans Unicode" w:eastAsia="Times New Roman" w:hAnsi="Lucida Sans Unicode" w:cs="Lucida Sans Unicode"/>
          <w:bCs/>
          <w:lang w:eastAsia="ar-SA"/>
        </w:rPr>
        <w:t>na adresu:</w:t>
      </w:r>
    </w:p>
    <w:p w:rsidR="007C5BFE" w:rsidRPr="0056783A" w:rsidRDefault="007C5BFE" w:rsidP="007C5BFE">
      <w:pPr>
        <w:tabs>
          <w:tab w:val="center" w:pos="4320"/>
          <w:tab w:val="right" w:pos="8640"/>
        </w:tabs>
        <w:spacing w:after="0" w:line="240" w:lineRule="auto"/>
        <w:jc w:val="center"/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</w:pPr>
      <w:r w:rsidRPr="0056783A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>Ministarstvo poduzetništva i obrta</w:t>
      </w:r>
    </w:p>
    <w:p w:rsidR="007C5BFE" w:rsidRPr="00E446C9" w:rsidRDefault="007C5BFE" w:rsidP="007C5BFE">
      <w:pPr>
        <w:tabs>
          <w:tab w:val="center" w:pos="4320"/>
          <w:tab w:val="right" w:pos="8640"/>
        </w:tabs>
        <w:spacing w:after="0" w:line="240" w:lineRule="auto"/>
        <w:jc w:val="center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E446C9">
        <w:rPr>
          <w:rStyle w:val="hps"/>
          <w:rFonts w:ascii="Lucida Sans Unicode" w:eastAsia="Times New Roman" w:hAnsi="Lucida Sans Unicode" w:cs="Lucida Sans Unicode"/>
          <w:bCs/>
          <w:lang w:eastAsia="ar-SA"/>
        </w:rPr>
        <w:t>Ulica grada Vukovara 78</w:t>
      </w:r>
    </w:p>
    <w:p w:rsidR="007C5BFE" w:rsidRPr="00E446C9" w:rsidRDefault="007C5BFE" w:rsidP="007C5BFE">
      <w:pPr>
        <w:tabs>
          <w:tab w:val="center" w:pos="4320"/>
          <w:tab w:val="right" w:pos="8640"/>
        </w:tabs>
        <w:spacing w:after="80" w:line="240" w:lineRule="auto"/>
        <w:jc w:val="center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E446C9">
        <w:rPr>
          <w:rStyle w:val="hps"/>
          <w:rFonts w:ascii="Lucida Sans Unicode" w:eastAsia="Times New Roman" w:hAnsi="Lucida Sans Unicode" w:cs="Lucida Sans Unicode"/>
          <w:bCs/>
          <w:lang w:eastAsia="ar-SA"/>
        </w:rPr>
        <w:t>10000 Zagreb</w:t>
      </w:r>
    </w:p>
    <w:p w:rsidR="007C5BFE" w:rsidRPr="00E446C9" w:rsidRDefault="007C5BFE" w:rsidP="007C5BFE">
      <w:pPr>
        <w:tabs>
          <w:tab w:val="center" w:pos="4320"/>
          <w:tab w:val="right" w:pos="8640"/>
        </w:tabs>
        <w:spacing w:after="0" w:line="240" w:lineRule="auto"/>
        <w:jc w:val="both"/>
        <w:rPr>
          <w:rStyle w:val="hps"/>
          <w:rFonts w:ascii="Lucida Sans Unicode" w:eastAsia="Times New Roman" w:hAnsi="Lucida Sans Unicode" w:cs="Lucida Sans Unicode"/>
          <w:bCs/>
          <w:lang w:eastAsia="ar-SA"/>
        </w:rPr>
      </w:pPr>
      <w:r w:rsidRPr="00E446C9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Poziv se vodi kao trajni otvoreni Poziv na dostavu projektnih prijava s krajnjim rokom dostave projektnih prijava </w:t>
      </w:r>
      <w:r w:rsidRPr="00E446C9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>do 31. prosinca 20</w:t>
      </w:r>
      <w:r w:rsidR="00711EF9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>16</w:t>
      </w:r>
      <w:r w:rsidRPr="00E446C9">
        <w:rPr>
          <w:rStyle w:val="hps"/>
          <w:rFonts w:ascii="Lucida Sans Unicode" w:eastAsia="Times New Roman" w:hAnsi="Lucida Sans Unicode" w:cs="Lucida Sans Unicode"/>
          <w:b/>
          <w:bCs/>
          <w:lang w:eastAsia="ar-SA"/>
        </w:rPr>
        <w:t>. godine</w:t>
      </w:r>
      <w:r w:rsidRPr="00E446C9">
        <w:rPr>
          <w:rStyle w:val="hps"/>
          <w:rFonts w:ascii="Lucida Sans Unicode" w:eastAsia="Times New Roman" w:hAnsi="Lucida Sans Unicode" w:cs="Lucida Sans Unicode"/>
          <w:bCs/>
          <w:lang w:eastAsia="ar-SA"/>
        </w:rPr>
        <w:t xml:space="preserve">.    </w:t>
      </w:r>
    </w:p>
    <w:sectPr w:rsidR="007C5BFE" w:rsidRPr="00E446C9" w:rsidSect="00B016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3A" w:rsidRDefault="00AD073A" w:rsidP="005B0573">
      <w:pPr>
        <w:spacing w:after="0" w:line="240" w:lineRule="auto"/>
      </w:pPr>
      <w:r>
        <w:separator/>
      </w:r>
    </w:p>
  </w:endnote>
  <w:endnote w:type="continuationSeparator" w:id="0">
    <w:p w:rsidR="00AD073A" w:rsidRDefault="00AD073A" w:rsidP="005B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06" w:rsidRDefault="00EB3E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45304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B0573" w:rsidRDefault="00401337">
            <w:pPr>
              <w:pStyle w:val="Footer"/>
              <w:jc w:val="center"/>
            </w:pPr>
            <w:r>
              <w:rPr>
                <w:rFonts w:ascii="Lucida Sans Unicode" w:hAnsi="Lucida Sans Unicode" w:cs="Lucida Sans Unicode"/>
              </w:rPr>
              <w:t>Stranica</w:t>
            </w:r>
            <w:r w:rsidR="005B0573" w:rsidRPr="00D52FE9">
              <w:rPr>
                <w:rFonts w:ascii="Lucida Sans Unicode" w:hAnsi="Lucida Sans Unicode" w:cs="Lucida Sans Unicode"/>
              </w:rPr>
              <w:t xml:space="preserve"> </w:t>
            </w:r>
            <w:r w:rsidR="00BF2400" w:rsidRPr="00D52FE9">
              <w:rPr>
                <w:rFonts w:ascii="Lucida Sans Unicode" w:hAnsi="Lucida Sans Unicode" w:cs="Lucida Sans Unicode"/>
                <w:b/>
                <w:bCs/>
              </w:rPr>
              <w:fldChar w:fldCharType="begin"/>
            </w:r>
            <w:r w:rsidR="005B0573" w:rsidRPr="00D52FE9">
              <w:rPr>
                <w:rFonts w:ascii="Lucida Sans Unicode" w:hAnsi="Lucida Sans Unicode" w:cs="Lucida Sans Unicode"/>
                <w:b/>
                <w:bCs/>
              </w:rPr>
              <w:instrText xml:space="preserve"> PAGE </w:instrText>
            </w:r>
            <w:r w:rsidR="00BF2400" w:rsidRPr="00D52FE9">
              <w:rPr>
                <w:rFonts w:ascii="Lucida Sans Unicode" w:hAnsi="Lucida Sans Unicode" w:cs="Lucida Sans Unicode"/>
                <w:b/>
                <w:bCs/>
              </w:rPr>
              <w:fldChar w:fldCharType="separate"/>
            </w:r>
            <w:r w:rsidR="00E24C6D">
              <w:rPr>
                <w:rFonts w:ascii="Lucida Sans Unicode" w:hAnsi="Lucida Sans Unicode" w:cs="Lucida Sans Unicode"/>
                <w:b/>
                <w:bCs/>
                <w:noProof/>
              </w:rPr>
              <w:t>4</w:t>
            </w:r>
            <w:r w:rsidR="00BF2400" w:rsidRPr="00D52FE9">
              <w:rPr>
                <w:rFonts w:ascii="Lucida Sans Unicode" w:hAnsi="Lucida Sans Unicode" w:cs="Lucida Sans Unicode"/>
                <w:b/>
                <w:bCs/>
              </w:rPr>
              <w:fldChar w:fldCharType="end"/>
            </w:r>
            <w:r w:rsidR="005B0573" w:rsidRPr="00D52FE9">
              <w:rPr>
                <w:rFonts w:ascii="Lucida Sans Unicode" w:hAnsi="Lucida Sans Unicode" w:cs="Lucida Sans Unicode"/>
              </w:rPr>
              <w:t xml:space="preserve"> o</w:t>
            </w:r>
            <w:r>
              <w:rPr>
                <w:rFonts w:ascii="Lucida Sans Unicode" w:hAnsi="Lucida Sans Unicode" w:cs="Lucida Sans Unicode"/>
              </w:rPr>
              <w:t>d</w:t>
            </w:r>
            <w:r w:rsidR="005B0573" w:rsidRPr="00D52FE9">
              <w:rPr>
                <w:rFonts w:ascii="Lucida Sans Unicode" w:hAnsi="Lucida Sans Unicode" w:cs="Lucida Sans Unicode"/>
              </w:rPr>
              <w:t xml:space="preserve"> </w:t>
            </w:r>
            <w:r w:rsidR="00BF2400" w:rsidRPr="00D52FE9">
              <w:rPr>
                <w:rFonts w:ascii="Lucida Sans Unicode" w:hAnsi="Lucida Sans Unicode" w:cs="Lucida Sans Unicode"/>
                <w:b/>
                <w:bCs/>
              </w:rPr>
              <w:fldChar w:fldCharType="begin"/>
            </w:r>
            <w:r w:rsidR="005B0573" w:rsidRPr="00D52FE9">
              <w:rPr>
                <w:rFonts w:ascii="Lucida Sans Unicode" w:hAnsi="Lucida Sans Unicode" w:cs="Lucida Sans Unicode"/>
                <w:b/>
                <w:bCs/>
              </w:rPr>
              <w:instrText xml:space="preserve"> NUMPAGES  </w:instrText>
            </w:r>
            <w:r w:rsidR="00BF2400" w:rsidRPr="00D52FE9">
              <w:rPr>
                <w:rFonts w:ascii="Lucida Sans Unicode" w:hAnsi="Lucida Sans Unicode" w:cs="Lucida Sans Unicode"/>
                <w:b/>
                <w:bCs/>
              </w:rPr>
              <w:fldChar w:fldCharType="separate"/>
            </w:r>
            <w:r w:rsidR="00E24C6D">
              <w:rPr>
                <w:rFonts w:ascii="Lucida Sans Unicode" w:hAnsi="Lucida Sans Unicode" w:cs="Lucida Sans Unicode"/>
                <w:b/>
                <w:bCs/>
                <w:noProof/>
              </w:rPr>
              <w:t>4</w:t>
            </w:r>
            <w:r w:rsidR="00BF2400" w:rsidRPr="00D52FE9">
              <w:rPr>
                <w:rFonts w:ascii="Lucida Sans Unicode" w:hAnsi="Lucida Sans Unicode" w:cs="Lucida Sans Unicode"/>
                <w:b/>
                <w:bCs/>
              </w:rPr>
              <w:fldChar w:fldCharType="end"/>
            </w:r>
          </w:p>
        </w:sdtContent>
      </w:sdt>
    </w:sdtContent>
  </w:sdt>
  <w:p w:rsidR="005B0573" w:rsidRDefault="005B05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06" w:rsidRDefault="00EB3E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3A" w:rsidRDefault="00AD073A" w:rsidP="005B0573">
      <w:pPr>
        <w:spacing w:after="0" w:line="240" w:lineRule="auto"/>
      </w:pPr>
      <w:r>
        <w:separator/>
      </w:r>
    </w:p>
  </w:footnote>
  <w:footnote w:type="continuationSeparator" w:id="0">
    <w:p w:rsidR="00AD073A" w:rsidRDefault="00AD073A" w:rsidP="005B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06" w:rsidRDefault="00EB3E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06" w:rsidRDefault="00EB3E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06" w:rsidRDefault="00EB3E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BC6"/>
    <w:multiLevelType w:val="hybridMultilevel"/>
    <w:tmpl w:val="25B4B4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107F0"/>
    <w:multiLevelType w:val="hybridMultilevel"/>
    <w:tmpl w:val="6804F4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E3305B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3686F"/>
    <w:multiLevelType w:val="hybridMultilevel"/>
    <w:tmpl w:val="D06A2960"/>
    <w:lvl w:ilvl="0" w:tplc="3B103A24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75817"/>
    <w:multiLevelType w:val="hybridMultilevel"/>
    <w:tmpl w:val="788C051A"/>
    <w:lvl w:ilvl="0" w:tplc="147EA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E50A9"/>
    <w:multiLevelType w:val="hybridMultilevel"/>
    <w:tmpl w:val="9E1C15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9077C"/>
    <w:multiLevelType w:val="hybridMultilevel"/>
    <w:tmpl w:val="A6466E60"/>
    <w:lvl w:ilvl="0" w:tplc="147EA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B5478"/>
    <w:multiLevelType w:val="hybridMultilevel"/>
    <w:tmpl w:val="41B4F07C"/>
    <w:lvl w:ilvl="0" w:tplc="582CFB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35919"/>
    <w:multiLevelType w:val="hybridMultilevel"/>
    <w:tmpl w:val="9E1C15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976BB"/>
    <w:multiLevelType w:val="hybridMultilevel"/>
    <w:tmpl w:val="714846DC"/>
    <w:lvl w:ilvl="0" w:tplc="72C8F430">
      <w:start w:val="1"/>
      <w:numFmt w:val="decimal"/>
      <w:lvlText w:val="%1."/>
      <w:lvlJc w:val="left"/>
      <w:pPr>
        <w:ind w:left="3585" w:hanging="322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C3F3F"/>
    <w:multiLevelType w:val="hybridMultilevel"/>
    <w:tmpl w:val="25CA1BB2"/>
    <w:lvl w:ilvl="0" w:tplc="3B103A24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D5D3B"/>
    <w:multiLevelType w:val="hybridMultilevel"/>
    <w:tmpl w:val="479235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F600F4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FF6B73"/>
    <w:multiLevelType w:val="hybridMultilevel"/>
    <w:tmpl w:val="B106BF5A"/>
    <w:lvl w:ilvl="0" w:tplc="041A001B">
      <w:start w:val="1"/>
      <w:numFmt w:val="lowerRoman"/>
      <w:lvlText w:val="%1."/>
      <w:lvlJc w:val="righ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DBD5E8B"/>
    <w:multiLevelType w:val="hybridMultilevel"/>
    <w:tmpl w:val="0F908A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265D11"/>
    <w:multiLevelType w:val="hybridMultilevel"/>
    <w:tmpl w:val="6804F4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E3305B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446733"/>
    <w:multiLevelType w:val="hybridMultilevel"/>
    <w:tmpl w:val="A6BCE82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6341E"/>
    <w:multiLevelType w:val="hybridMultilevel"/>
    <w:tmpl w:val="29BC9764"/>
    <w:lvl w:ilvl="0" w:tplc="3B103A24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E23B62"/>
    <w:multiLevelType w:val="hybridMultilevel"/>
    <w:tmpl w:val="BE30E5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15"/>
  </w:num>
  <w:num w:numId="6">
    <w:abstractNumId w:val="10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</w:num>
  <w:num w:numId="12">
    <w:abstractNumId w:val="3"/>
  </w:num>
  <w:num w:numId="13">
    <w:abstractNumId w:val="16"/>
  </w:num>
  <w:num w:numId="14">
    <w:abstractNumId w:val="12"/>
  </w:num>
  <w:num w:numId="15">
    <w:abstractNumId w:val="13"/>
  </w:num>
  <w:num w:numId="16">
    <w:abstractNumId w:val="7"/>
  </w:num>
  <w:num w:numId="1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na Balentović">
    <w15:presenceInfo w15:providerId="AD" w15:userId="S-1-5-21-770633012-169110031-1155432073-25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Formatting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EE"/>
    <w:rsid w:val="000014C2"/>
    <w:rsid w:val="000524BE"/>
    <w:rsid w:val="000B5CE1"/>
    <w:rsid w:val="001223EB"/>
    <w:rsid w:val="001B1428"/>
    <w:rsid w:val="001B64A1"/>
    <w:rsid w:val="001E313F"/>
    <w:rsid w:val="001E5546"/>
    <w:rsid w:val="00295613"/>
    <w:rsid w:val="002C483F"/>
    <w:rsid w:val="002C4A89"/>
    <w:rsid w:val="003418E7"/>
    <w:rsid w:val="003521EE"/>
    <w:rsid w:val="00383C00"/>
    <w:rsid w:val="00383FD7"/>
    <w:rsid w:val="003A43A3"/>
    <w:rsid w:val="003C0590"/>
    <w:rsid w:val="003D5B3F"/>
    <w:rsid w:val="003E02CD"/>
    <w:rsid w:val="00401337"/>
    <w:rsid w:val="00440612"/>
    <w:rsid w:val="004F3B76"/>
    <w:rsid w:val="00522B99"/>
    <w:rsid w:val="0056258C"/>
    <w:rsid w:val="005653A4"/>
    <w:rsid w:val="0056783A"/>
    <w:rsid w:val="005B0573"/>
    <w:rsid w:val="0064332B"/>
    <w:rsid w:val="006666F3"/>
    <w:rsid w:val="00673FAD"/>
    <w:rsid w:val="0067402D"/>
    <w:rsid w:val="006C51B4"/>
    <w:rsid w:val="006E3D8A"/>
    <w:rsid w:val="00711EF9"/>
    <w:rsid w:val="007312FA"/>
    <w:rsid w:val="00753AAC"/>
    <w:rsid w:val="00762AFC"/>
    <w:rsid w:val="00764691"/>
    <w:rsid w:val="00766991"/>
    <w:rsid w:val="007863F1"/>
    <w:rsid w:val="007C4022"/>
    <w:rsid w:val="007C5BFE"/>
    <w:rsid w:val="007E4BA8"/>
    <w:rsid w:val="00825303"/>
    <w:rsid w:val="00881921"/>
    <w:rsid w:val="009345F5"/>
    <w:rsid w:val="009F1474"/>
    <w:rsid w:val="009F37AA"/>
    <w:rsid w:val="00A06DD9"/>
    <w:rsid w:val="00A24C72"/>
    <w:rsid w:val="00A74D57"/>
    <w:rsid w:val="00AB2D1A"/>
    <w:rsid w:val="00AC497C"/>
    <w:rsid w:val="00AD073A"/>
    <w:rsid w:val="00B016E1"/>
    <w:rsid w:val="00B82DED"/>
    <w:rsid w:val="00B9154C"/>
    <w:rsid w:val="00BB429E"/>
    <w:rsid w:val="00BE16A9"/>
    <w:rsid w:val="00BF18E3"/>
    <w:rsid w:val="00BF2400"/>
    <w:rsid w:val="00C63AF7"/>
    <w:rsid w:val="00C8021A"/>
    <w:rsid w:val="00D004B6"/>
    <w:rsid w:val="00D52FE9"/>
    <w:rsid w:val="00DA75D6"/>
    <w:rsid w:val="00DF37B3"/>
    <w:rsid w:val="00E24C6D"/>
    <w:rsid w:val="00E43FB9"/>
    <w:rsid w:val="00E446C9"/>
    <w:rsid w:val="00E9728C"/>
    <w:rsid w:val="00EA17C2"/>
    <w:rsid w:val="00EB3E06"/>
    <w:rsid w:val="00F91B96"/>
    <w:rsid w:val="00FA5ABD"/>
    <w:rsid w:val="00FC6625"/>
    <w:rsid w:val="00FE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573"/>
  </w:style>
  <w:style w:type="paragraph" w:styleId="Footer">
    <w:name w:val="footer"/>
    <w:basedOn w:val="Normal"/>
    <w:link w:val="FooterChar"/>
    <w:uiPriority w:val="99"/>
    <w:unhideWhenUsed/>
    <w:rsid w:val="005B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573"/>
  </w:style>
  <w:style w:type="character" w:customStyle="1" w:styleId="hps">
    <w:name w:val="hps"/>
    <w:basedOn w:val="DefaultParagraphFont"/>
    <w:uiPriority w:val="99"/>
    <w:rsid w:val="00BF18E3"/>
  </w:style>
  <w:style w:type="paragraph" w:styleId="BalloonText">
    <w:name w:val="Balloon Text"/>
    <w:basedOn w:val="Normal"/>
    <w:link w:val="BalloonTextChar"/>
    <w:uiPriority w:val="99"/>
    <w:semiHidden/>
    <w:unhideWhenUsed/>
    <w:rsid w:val="00B9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2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2FE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04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04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04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004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573"/>
  </w:style>
  <w:style w:type="paragraph" w:styleId="Footer">
    <w:name w:val="footer"/>
    <w:basedOn w:val="Normal"/>
    <w:link w:val="FooterChar"/>
    <w:uiPriority w:val="99"/>
    <w:unhideWhenUsed/>
    <w:rsid w:val="005B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573"/>
  </w:style>
  <w:style w:type="character" w:customStyle="1" w:styleId="hps">
    <w:name w:val="hps"/>
    <w:basedOn w:val="DefaultParagraphFont"/>
    <w:uiPriority w:val="99"/>
    <w:rsid w:val="00BF18E3"/>
  </w:style>
  <w:style w:type="paragraph" w:styleId="BalloonText">
    <w:name w:val="Balloon Text"/>
    <w:basedOn w:val="Normal"/>
    <w:link w:val="BalloonTextChar"/>
    <w:uiPriority w:val="99"/>
    <w:semiHidden/>
    <w:unhideWhenUsed/>
    <w:rsid w:val="00B9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2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2FE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04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04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04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004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5690</Characters>
  <Application>Microsoft Office Word</Application>
  <DocSecurity>0</DocSecurity>
  <Lines>47</Lines>
  <Paragraphs>13</Paragraphs>
  <ScaleCrop>false</ScaleCrop>
  <Company/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2016-05-13T14:31:00Z</dcterms:created>
  <dcterms:modified xsi:type="dcterms:W3CDTF">2016-05-17T16:07:00Z</dcterms:modified>
</cp:coreProperties>
</file>