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2526"/>
      </w:tblGrid>
      <w:tr w:rsidR="00C14FA5" w:rsidRPr="00637782" w14:paraId="22FB9B80" w14:textId="77777777" w:rsidTr="008E62E6">
        <w:trPr>
          <w:trHeight w:val="1701"/>
        </w:trPr>
        <w:tc>
          <w:tcPr>
            <w:tcW w:w="6336" w:type="dxa"/>
          </w:tcPr>
          <w:p w14:paraId="241D116C" w14:textId="29530B21" w:rsidR="00C14FA5" w:rsidRPr="009903F3" w:rsidRDefault="00C14FA5" w:rsidP="008E62E6">
            <w:pPr>
              <w:autoSpaceDE w:val="0"/>
              <w:autoSpaceDN w:val="0"/>
              <w:adjustRightInd w:val="0"/>
              <w:spacing w:after="0" w:line="240" w:lineRule="auto"/>
              <w:jc w:val="center"/>
              <w:rPr>
                <w:rFonts w:ascii="Times New Roman" w:hAnsi="Times New Roman"/>
                <w:b/>
                <w:sz w:val="24"/>
                <w:szCs w:val="24"/>
              </w:rPr>
            </w:pPr>
            <w:r w:rsidRPr="009903F3">
              <w:rPr>
                <w:rFonts w:ascii="Times New Roman" w:hAnsi="Times New Roman"/>
                <w:b/>
                <w:noProof/>
                <w:sz w:val="24"/>
                <w:szCs w:val="24"/>
                <w:lang w:eastAsia="hr-HR"/>
              </w:rPr>
              <w:drawing>
                <wp:inline distT="0" distB="0" distL="0" distR="0" wp14:anchorId="2F4CBF43" wp14:editId="337BA418">
                  <wp:extent cx="40100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847725"/>
                          </a:xfrm>
                          <a:prstGeom prst="rect">
                            <a:avLst/>
                          </a:prstGeom>
                          <a:noFill/>
                          <a:ln>
                            <a:noFill/>
                          </a:ln>
                        </pic:spPr>
                      </pic:pic>
                    </a:graphicData>
                  </a:graphic>
                </wp:inline>
              </w:drawing>
            </w:r>
          </w:p>
        </w:tc>
        <w:tc>
          <w:tcPr>
            <w:tcW w:w="2726" w:type="dxa"/>
          </w:tcPr>
          <w:p w14:paraId="0A321B8D" w14:textId="77777777" w:rsidR="00C14FA5" w:rsidRPr="009903F3" w:rsidRDefault="00C14FA5" w:rsidP="008E62E6">
            <w:pPr>
              <w:autoSpaceDE w:val="0"/>
              <w:autoSpaceDN w:val="0"/>
              <w:adjustRightInd w:val="0"/>
              <w:spacing w:after="0" w:line="240" w:lineRule="auto"/>
              <w:jc w:val="center"/>
              <w:rPr>
                <w:rFonts w:ascii="Times New Roman" w:hAnsi="Times New Roman"/>
                <w:b/>
                <w:sz w:val="24"/>
                <w:szCs w:val="24"/>
              </w:rPr>
            </w:pPr>
          </w:p>
          <w:p w14:paraId="3F57B65B" w14:textId="7EE40378" w:rsidR="00C14FA5" w:rsidRPr="009903F3" w:rsidRDefault="00C14FA5" w:rsidP="008E62E6">
            <w:pPr>
              <w:autoSpaceDE w:val="0"/>
              <w:autoSpaceDN w:val="0"/>
              <w:adjustRightInd w:val="0"/>
              <w:spacing w:after="0" w:line="240" w:lineRule="auto"/>
              <w:jc w:val="center"/>
              <w:rPr>
                <w:rFonts w:ascii="Times New Roman" w:hAnsi="Times New Roman"/>
                <w:b/>
                <w:sz w:val="24"/>
                <w:szCs w:val="24"/>
              </w:rPr>
            </w:pPr>
            <w:r w:rsidRPr="009903F3">
              <w:rPr>
                <w:rFonts w:ascii="Times New Roman" w:hAnsi="Times New Roman"/>
                <w:b/>
                <w:noProof/>
                <w:sz w:val="24"/>
                <w:szCs w:val="24"/>
                <w:lang w:eastAsia="hr-HR"/>
              </w:rPr>
              <w:drawing>
                <wp:inline distT="0" distB="0" distL="0" distR="0" wp14:anchorId="2E523DE4" wp14:editId="1E640A18">
                  <wp:extent cx="1333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p>
        </w:tc>
      </w:tr>
      <w:tr w:rsidR="00C14FA5" w:rsidRPr="00637782" w14:paraId="108A4897" w14:textId="77777777" w:rsidTr="008E62E6">
        <w:trPr>
          <w:trHeight w:val="290"/>
        </w:trPr>
        <w:tc>
          <w:tcPr>
            <w:tcW w:w="9062" w:type="dxa"/>
            <w:gridSpan w:val="2"/>
          </w:tcPr>
          <w:p w14:paraId="29893A32" w14:textId="1E5D81ED" w:rsidR="00C14FA5" w:rsidRPr="009903F3" w:rsidRDefault="00C14FA5" w:rsidP="008E62E6">
            <w:pPr>
              <w:autoSpaceDE w:val="0"/>
              <w:autoSpaceDN w:val="0"/>
              <w:adjustRightInd w:val="0"/>
              <w:spacing w:after="0" w:line="240" w:lineRule="auto"/>
              <w:jc w:val="center"/>
              <w:rPr>
                <w:rFonts w:ascii="Times New Roman" w:hAnsi="Times New Roman"/>
                <w:lang w:val="hr-HR"/>
              </w:rPr>
            </w:pPr>
            <w:proofErr w:type="spellStart"/>
            <w:r w:rsidRPr="009903F3">
              <w:rPr>
                <w:rFonts w:ascii="Times New Roman" w:hAnsi="Times New Roman"/>
                <w:i/>
              </w:rPr>
              <w:t>Ovaj</w:t>
            </w:r>
            <w:proofErr w:type="spellEnd"/>
            <w:r w:rsidRPr="009903F3">
              <w:rPr>
                <w:rFonts w:ascii="Times New Roman" w:hAnsi="Times New Roman"/>
                <w:i/>
              </w:rPr>
              <w:t xml:space="preserve"> </w:t>
            </w:r>
            <w:proofErr w:type="spellStart"/>
            <w:r w:rsidR="002B0CDC" w:rsidRPr="009903F3">
              <w:rPr>
                <w:rFonts w:ascii="Times New Roman" w:hAnsi="Times New Roman"/>
                <w:i/>
              </w:rPr>
              <w:t>P</w:t>
            </w:r>
            <w:r w:rsidRPr="009903F3">
              <w:rPr>
                <w:rFonts w:ascii="Times New Roman" w:hAnsi="Times New Roman"/>
                <w:i/>
              </w:rPr>
              <w:t>oziv</w:t>
            </w:r>
            <w:proofErr w:type="spellEnd"/>
            <w:r w:rsidRPr="009903F3">
              <w:rPr>
                <w:rFonts w:ascii="Times New Roman" w:hAnsi="Times New Roman"/>
                <w:i/>
              </w:rPr>
              <w:t xml:space="preserve"> se </w:t>
            </w:r>
            <w:proofErr w:type="spellStart"/>
            <w:r w:rsidRPr="009903F3">
              <w:rPr>
                <w:rFonts w:ascii="Times New Roman" w:hAnsi="Times New Roman"/>
                <w:i/>
              </w:rPr>
              <w:t>financira</w:t>
            </w:r>
            <w:proofErr w:type="spellEnd"/>
            <w:r w:rsidRPr="009903F3">
              <w:rPr>
                <w:rFonts w:ascii="Times New Roman" w:hAnsi="Times New Roman"/>
                <w:i/>
              </w:rPr>
              <w:t xml:space="preserve"> </w:t>
            </w:r>
            <w:proofErr w:type="spellStart"/>
            <w:r w:rsidRPr="009903F3">
              <w:rPr>
                <w:rFonts w:ascii="Times New Roman" w:hAnsi="Times New Roman"/>
                <w:i/>
              </w:rPr>
              <w:t>iz</w:t>
            </w:r>
            <w:proofErr w:type="spellEnd"/>
            <w:r w:rsidRPr="009903F3">
              <w:rPr>
                <w:rFonts w:ascii="Times New Roman" w:hAnsi="Times New Roman"/>
                <w:i/>
              </w:rPr>
              <w:t xml:space="preserve"> </w:t>
            </w:r>
            <w:proofErr w:type="spellStart"/>
            <w:r w:rsidRPr="009903F3">
              <w:rPr>
                <w:rFonts w:ascii="Times New Roman" w:hAnsi="Times New Roman"/>
                <w:i/>
              </w:rPr>
              <w:t>Europskog</w:t>
            </w:r>
            <w:proofErr w:type="spellEnd"/>
            <w:r w:rsidRPr="009903F3">
              <w:rPr>
                <w:rFonts w:ascii="Times New Roman" w:hAnsi="Times New Roman"/>
                <w:i/>
              </w:rPr>
              <w:t xml:space="preserve"> </w:t>
            </w:r>
            <w:proofErr w:type="spellStart"/>
            <w:r w:rsidRPr="009903F3">
              <w:rPr>
                <w:rFonts w:ascii="Times New Roman" w:hAnsi="Times New Roman"/>
                <w:i/>
              </w:rPr>
              <w:t>fonda</w:t>
            </w:r>
            <w:proofErr w:type="spellEnd"/>
            <w:r w:rsidRPr="009903F3">
              <w:rPr>
                <w:rFonts w:ascii="Times New Roman" w:hAnsi="Times New Roman"/>
                <w:i/>
              </w:rPr>
              <w:t xml:space="preserve"> </w:t>
            </w:r>
            <w:proofErr w:type="spellStart"/>
            <w:r w:rsidRPr="009903F3">
              <w:rPr>
                <w:rFonts w:ascii="Times New Roman" w:hAnsi="Times New Roman"/>
                <w:i/>
              </w:rPr>
              <w:t>za</w:t>
            </w:r>
            <w:proofErr w:type="spellEnd"/>
            <w:r w:rsidRPr="009903F3">
              <w:rPr>
                <w:rFonts w:ascii="Times New Roman" w:hAnsi="Times New Roman"/>
                <w:i/>
              </w:rPr>
              <w:t xml:space="preserve"> </w:t>
            </w:r>
            <w:proofErr w:type="spellStart"/>
            <w:r w:rsidRPr="009903F3">
              <w:rPr>
                <w:rFonts w:ascii="Times New Roman" w:hAnsi="Times New Roman"/>
                <w:i/>
              </w:rPr>
              <w:t>regionalni</w:t>
            </w:r>
            <w:proofErr w:type="spellEnd"/>
            <w:r w:rsidRPr="009903F3">
              <w:rPr>
                <w:rFonts w:ascii="Times New Roman" w:hAnsi="Times New Roman"/>
                <w:i/>
              </w:rPr>
              <w:t xml:space="preserve"> </w:t>
            </w:r>
            <w:proofErr w:type="spellStart"/>
            <w:r w:rsidRPr="009903F3">
              <w:rPr>
                <w:rFonts w:ascii="Times New Roman" w:hAnsi="Times New Roman"/>
                <w:i/>
              </w:rPr>
              <w:t>razvoj</w:t>
            </w:r>
            <w:proofErr w:type="spellEnd"/>
          </w:p>
        </w:tc>
      </w:tr>
    </w:tbl>
    <w:p w14:paraId="32BB43EF" w14:textId="77777777" w:rsidR="00A64959" w:rsidRPr="009903F3" w:rsidRDefault="00A64959" w:rsidP="0044120D">
      <w:pPr>
        <w:autoSpaceDE w:val="0"/>
        <w:autoSpaceDN w:val="0"/>
        <w:adjustRightInd w:val="0"/>
        <w:spacing w:after="0" w:line="240" w:lineRule="auto"/>
        <w:jc w:val="center"/>
        <w:rPr>
          <w:rFonts w:ascii="Times New Roman" w:hAnsi="Times New Roman"/>
          <w:b/>
          <w:sz w:val="24"/>
          <w:szCs w:val="24"/>
        </w:rPr>
      </w:pPr>
    </w:p>
    <w:p w14:paraId="552A0329" w14:textId="77777777" w:rsidR="00A64959" w:rsidRPr="009903F3" w:rsidRDefault="00A64959" w:rsidP="0044120D">
      <w:pPr>
        <w:autoSpaceDE w:val="0"/>
        <w:autoSpaceDN w:val="0"/>
        <w:adjustRightInd w:val="0"/>
        <w:spacing w:after="0" w:line="240" w:lineRule="auto"/>
        <w:jc w:val="center"/>
        <w:rPr>
          <w:rFonts w:ascii="Times New Roman" w:hAnsi="Times New Roman"/>
          <w:b/>
          <w:sz w:val="24"/>
          <w:szCs w:val="24"/>
        </w:rPr>
      </w:pPr>
    </w:p>
    <w:p w14:paraId="47C825D8" w14:textId="77777777" w:rsidR="00A64959" w:rsidRPr="009903F3" w:rsidRDefault="00A64959" w:rsidP="0044120D">
      <w:pPr>
        <w:spacing w:after="0" w:line="240" w:lineRule="auto"/>
        <w:ind w:left="720"/>
        <w:jc w:val="center"/>
        <w:rPr>
          <w:rFonts w:ascii="Times New Roman" w:hAnsi="Times New Roman"/>
          <w:b/>
          <w:sz w:val="24"/>
          <w:szCs w:val="24"/>
        </w:rPr>
      </w:pPr>
      <w:r w:rsidRPr="009903F3">
        <w:rPr>
          <w:rFonts w:ascii="Times New Roman" w:hAnsi="Times New Roman"/>
          <w:b/>
          <w:sz w:val="24"/>
          <w:szCs w:val="24"/>
        </w:rPr>
        <w:t>Ugovor o dodjeli bespovratnih sredstava za projekte koji se financiraju iz Fondova u financijskom razdoblju 2014.-2020.</w:t>
      </w:r>
    </w:p>
    <w:p w14:paraId="6460A329" w14:textId="77777777" w:rsidR="00A64959" w:rsidRPr="009903F3" w:rsidRDefault="00A64959" w:rsidP="0044120D">
      <w:pPr>
        <w:spacing w:after="0" w:line="240" w:lineRule="auto"/>
        <w:ind w:left="720"/>
        <w:jc w:val="center"/>
        <w:rPr>
          <w:rFonts w:ascii="Times New Roman" w:hAnsi="Times New Roman"/>
          <w:sz w:val="24"/>
          <w:szCs w:val="24"/>
        </w:rPr>
      </w:pPr>
    </w:p>
    <w:p w14:paraId="6A6057F9" w14:textId="77777777" w:rsidR="00A64959" w:rsidRPr="009903F3" w:rsidRDefault="00A64959" w:rsidP="0044120D">
      <w:pPr>
        <w:tabs>
          <w:tab w:val="left" w:pos="-1701"/>
          <w:tab w:val="left" w:pos="-1560"/>
        </w:tabs>
        <w:spacing w:after="0" w:line="240" w:lineRule="auto"/>
        <w:jc w:val="center"/>
        <w:rPr>
          <w:rFonts w:ascii="Times New Roman" w:hAnsi="Times New Roman"/>
          <w:b/>
          <w:i/>
          <w:sz w:val="24"/>
          <w:szCs w:val="24"/>
        </w:rPr>
      </w:pPr>
      <w:r w:rsidRPr="009903F3">
        <w:rPr>
          <w:rFonts w:ascii="Times New Roman" w:hAnsi="Times New Roman"/>
          <w:b/>
          <w:sz w:val="24"/>
          <w:szCs w:val="24"/>
        </w:rPr>
        <w:t>&lt;</w:t>
      </w:r>
      <w:r w:rsidRPr="009903F3">
        <w:rPr>
          <w:rFonts w:ascii="Times New Roman" w:hAnsi="Times New Roman"/>
          <w:b/>
          <w:i/>
          <w:sz w:val="24"/>
          <w:szCs w:val="24"/>
        </w:rPr>
        <w:t>Referentni broj Ugovora o</w:t>
      </w:r>
      <w:r w:rsidRPr="009903F3">
        <w:rPr>
          <w:rFonts w:ascii="Times New Roman" w:hAnsi="Times New Roman"/>
          <w:b/>
          <w:sz w:val="24"/>
          <w:szCs w:val="24"/>
        </w:rPr>
        <w:t xml:space="preserve"> </w:t>
      </w:r>
      <w:r w:rsidRPr="009903F3">
        <w:rPr>
          <w:rFonts w:ascii="Times New Roman" w:hAnsi="Times New Roman"/>
          <w:b/>
          <w:i/>
          <w:sz w:val="24"/>
          <w:szCs w:val="24"/>
        </w:rPr>
        <w:t>dodjeli bespovratnih sredstava&gt;</w:t>
      </w:r>
    </w:p>
    <w:p w14:paraId="0D1BE3DF" w14:textId="77777777" w:rsidR="00A64959" w:rsidRPr="009903F3"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9903F3">
        <w:rPr>
          <w:rFonts w:ascii="Times New Roman" w:hAnsi="Times New Roman"/>
          <w:b/>
          <w:sz w:val="24"/>
          <w:szCs w:val="24"/>
        </w:rPr>
        <w:tab/>
      </w:r>
      <w:r w:rsidRPr="009903F3">
        <w:rPr>
          <w:rFonts w:ascii="Times New Roman" w:hAnsi="Times New Roman"/>
          <w:b/>
          <w:sz w:val="24"/>
          <w:szCs w:val="24"/>
        </w:rPr>
        <w:tab/>
      </w:r>
    </w:p>
    <w:p w14:paraId="02019185" w14:textId="77777777" w:rsidR="00A64959" w:rsidRPr="009903F3" w:rsidRDefault="00A64959" w:rsidP="0044120D">
      <w:pPr>
        <w:tabs>
          <w:tab w:val="left" w:pos="-1701"/>
          <w:tab w:val="left" w:pos="-1560"/>
        </w:tabs>
        <w:spacing w:after="0" w:line="240" w:lineRule="auto"/>
        <w:jc w:val="center"/>
        <w:rPr>
          <w:rFonts w:ascii="Times New Roman" w:hAnsi="Times New Roman"/>
          <w:b/>
          <w:i/>
          <w:sz w:val="24"/>
          <w:szCs w:val="24"/>
        </w:rPr>
      </w:pPr>
      <w:r w:rsidRPr="009903F3">
        <w:rPr>
          <w:rFonts w:ascii="Times New Roman" w:hAnsi="Times New Roman"/>
          <w:b/>
          <w:sz w:val="24"/>
          <w:szCs w:val="24"/>
        </w:rPr>
        <w:t>&lt;</w:t>
      </w:r>
      <w:r w:rsidRPr="009903F3">
        <w:rPr>
          <w:rFonts w:ascii="Times New Roman" w:hAnsi="Times New Roman"/>
          <w:b/>
          <w:i/>
          <w:sz w:val="24"/>
          <w:szCs w:val="24"/>
        </w:rPr>
        <w:t>Naziv projekta&gt;</w:t>
      </w:r>
    </w:p>
    <w:p w14:paraId="113854F0" w14:textId="77777777" w:rsidR="00A64959" w:rsidRPr="009903F3" w:rsidRDefault="00A64959" w:rsidP="0044120D">
      <w:pPr>
        <w:tabs>
          <w:tab w:val="left" w:pos="-1701"/>
          <w:tab w:val="left" w:pos="-1560"/>
        </w:tabs>
        <w:spacing w:after="0" w:line="240" w:lineRule="auto"/>
        <w:jc w:val="center"/>
        <w:rPr>
          <w:rFonts w:ascii="Times New Roman" w:hAnsi="Times New Roman"/>
          <w:sz w:val="24"/>
          <w:szCs w:val="24"/>
        </w:rPr>
      </w:pPr>
      <w:r w:rsidRPr="009903F3">
        <w:rPr>
          <w:rFonts w:ascii="Times New Roman" w:hAnsi="Times New Roman"/>
          <w:b/>
          <w:sz w:val="24"/>
          <w:szCs w:val="24"/>
        </w:rPr>
        <w:t xml:space="preserve"> </w:t>
      </w:r>
      <w:r w:rsidRPr="009903F3">
        <w:rPr>
          <w:rFonts w:ascii="Times New Roman" w:hAnsi="Times New Roman"/>
          <w:sz w:val="24"/>
          <w:szCs w:val="24"/>
        </w:rPr>
        <w:t>("Ugovor o</w:t>
      </w:r>
      <w:r w:rsidRPr="009903F3">
        <w:rPr>
          <w:rFonts w:ascii="Times New Roman" w:hAnsi="Times New Roman"/>
          <w:b/>
          <w:sz w:val="24"/>
          <w:szCs w:val="24"/>
        </w:rPr>
        <w:t xml:space="preserve"> </w:t>
      </w:r>
      <w:r w:rsidRPr="009903F3">
        <w:rPr>
          <w:rFonts w:ascii="Times New Roman" w:hAnsi="Times New Roman"/>
          <w:sz w:val="24"/>
          <w:szCs w:val="24"/>
        </w:rPr>
        <w:t>dodjeli bespovratnih sredstava", u daljnjem tekstu: Ugovor)</w:t>
      </w:r>
    </w:p>
    <w:p w14:paraId="391F48D1" w14:textId="77777777" w:rsidR="00A64959" w:rsidRPr="009903F3" w:rsidRDefault="00A64959" w:rsidP="0044120D">
      <w:pPr>
        <w:tabs>
          <w:tab w:val="left" w:pos="-1701"/>
          <w:tab w:val="left" w:pos="-1560"/>
        </w:tabs>
        <w:spacing w:after="0" w:line="240" w:lineRule="auto"/>
        <w:jc w:val="center"/>
        <w:rPr>
          <w:rFonts w:ascii="Times New Roman" w:hAnsi="Times New Roman"/>
          <w:sz w:val="24"/>
          <w:szCs w:val="24"/>
        </w:rPr>
      </w:pPr>
    </w:p>
    <w:p w14:paraId="6599C411" w14:textId="76324639" w:rsidR="00EE48EF" w:rsidRPr="009903F3" w:rsidRDefault="00EE48EF" w:rsidP="00EE48EF">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903F3">
        <w:rPr>
          <w:rFonts w:ascii="Times New Roman" w:hAnsi="Times New Roman"/>
          <w:sz w:val="24"/>
          <w:szCs w:val="24"/>
        </w:rPr>
        <w:t>Posredničko tijelo razine 1</w:t>
      </w:r>
      <w:r w:rsidR="00DB4BA1" w:rsidRPr="009903F3">
        <w:rPr>
          <w:rFonts w:ascii="Times New Roman" w:hAnsi="Times New Roman"/>
          <w:sz w:val="24"/>
          <w:szCs w:val="24"/>
        </w:rPr>
        <w:t xml:space="preserve"> </w:t>
      </w:r>
      <w:r w:rsidRPr="009903F3">
        <w:rPr>
          <w:rFonts w:ascii="Times New Roman" w:hAnsi="Times New Roman"/>
          <w:sz w:val="24"/>
          <w:szCs w:val="24"/>
        </w:rPr>
        <w:t xml:space="preserve">(u daljnjem tekstu: </w:t>
      </w:r>
      <w:proofErr w:type="spellStart"/>
      <w:r w:rsidRPr="009903F3">
        <w:rPr>
          <w:rFonts w:ascii="Times New Roman" w:hAnsi="Times New Roman"/>
          <w:sz w:val="24"/>
          <w:szCs w:val="24"/>
        </w:rPr>
        <w:t>PT1</w:t>
      </w:r>
      <w:proofErr w:type="spellEnd"/>
      <w:r w:rsidRPr="009903F3">
        <w:rPr>
          <w:rFonts w:ascii="Times New Roman" w:hAnsi="Times New Roman"/>
          <w:sz w:val="24"/>
          <w:szCs w:val="24"/>
        </w:rPr>
        <w:t xml:space="preserve">) Ministarstvo znanosti i obrazovanja, Donje Svetice 38, 10000 Zagreb, Hrvatska, i </w:t>
      </w:r>
    </w:p>
    <w:p w14:paraId="5703B13B" w14:textId="77777777" w:rsidR="00EE48EF" w:rsidRPr="009903F3" w:rsidRDefault="00EE48EF" w:rsidP="00EE48EF">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3B31906" w14:textId="77777777" w:rsidR="00EE48EF" w:rsidRPr="009903F3" w:rsidRDefault="00EE48EF" w:rsidP="00EE48EF">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903F3">
        <w:rPr>
          <w:rFonts w:ascii="Times New Roman" w:hAnsi="Times New Roman"/>
          <w:sz w:val="24"/>
          <w:szCs w:val="24"/>
        </w:rPr>
        <w:t xml:space="preserve">Posredničko tijelo razine 2 (u daljnjem tekstu: </w:t>
      </w:r>
      <w:proofErr w:type="spellStart"/>
      <w:r w:rsidRPr="009903F3">
        <w:rPr>
          <w:rFonts w:ascii="Times New Roman" w:hAnsi="Times New Roman"/>
          <w:sz w:val="24"/>
          <w:szCs w:val="24"/>
        </w:rPr>
        <w:t>PT2</w:t>
      </w:r>
      <w:proofErr w:type="spellEnd"/>
      <w:r w:rsidRPr="009903F3">
        <w:rPr>
          <w:rFonts w:ascii="Times New Roman" w:hAnsi="Times New Roman"/>
          <w:sz w:val="24"/>
          <w:szCs w:val="24"/>
        </w:rPr>
        <w:t>), Središnja agencija za financiranje i ugovaranje programa i projekata Europske unije,  Ulica grada Vukovara 284 (objekt C), 10000 Zagreb, zajednički obuhvaćeni pojmom PT-ovi,</w:t>
      </w:r>
    </w:p>
    <w:p w14:paraId="48D3C6EF" w14:textId="77777777" w:rsidR="00EE48EF" w:rsidRPr="009903F3" w:rsidRDefault="00EE48EF" w:rsidP="00EE48EF">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903F3">
        <w:rPr>
          <w:rFonts w:ascii="Times New Roman" w:hAnsi="Times New Roman"/>
          <w:sz w:val="24"/>
          <w:szCs w:val="24"/>
        </w:rPr>
        <w:tab/>
      </w:r>
      <w:r w:rsidRPr="009903F3">
        <w:rPr>
          <w:rFonts w:ascii="Times New Roman" w:hAnsi="Times New Roman"/>
          <w:sz w:val="24"/>
          <w:szCs w:val="24"/>
        </w:rPr>
        <w:tab/>
      </w:r>
      <w:r w:rsidRPr="009903F3">
        <w:rPr>
          <w:rFonts w:ascii="Times New Roman" w:hAnsi="Times New Roman"/>
          <w:sz w:val="24"/>
          <w:szCs w:val="24"/>
        </w:rPr>
        <w:tab/>
      </w:r>
      <w:r w:rsidRPr="009903F3">
        <w:rPr>
          <w:rFonts w:ascii="Times New Roman" w:hAnsi="Times New Roman"/>
          <w:sz w:val="24"/>
          <w:szCs w:val="24"/>
        </w:rPr>
        <w:tab/>
      </w:r>
      <w:r w:rsidRPr="009903F3">
        <w:rPr>
          <w:rFonts w:ascii="Times New Roman" w:hAnsi="Times New Roman"/>
          <w:sz w:val="24"/>
          <w:szCs w:val="24"/>
        </w:rPr>
        <w:tab/>
      </w:r>
      <w:r w:rsidRPr="009903F3">
        <w:rPr>
          <w:rFonts w:ascii="Times New Roman" w:hAnsi="Times New Roman"/>
          <w:sz w:val="24"/>
          <w:szCs w:val="24"/>
        </w:rPr>
        <w:tab/>
      </w:r>
    </w:p>
    <w:p w14:paraId="7F838ACC" w14:textId="77777777" w:rsidR="00EE48EF" w:rsidRPr="009903F3" w:rsidRDefault="00EE48EF" w:rsidP="00EE48EF">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903F3">
        <w:rPr>
          <w:rFonts w:ascii="Times New Roman" w:hAnsi="Times New Roman"/>
          <w:sz w:val="24"/>
          <w:szCs w:val="24"/>
        </w:rPr>
        <w:t>s jedne strane, i</w:t>
      </w:r>
    </w:p>
    <w:p w14:paraId="2F800B39" w14:textId="77777777" w:rsidR="00A64959" w:rsidRPr="009903F3"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77777777" w:rsidR="00A64959" w:rsidRPr="009903F3"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9903F3">
        <w:rPr>
          <w:rFonts w:ascii="Times New Roman" w:hAnsi="Times New Roman"/>
          <w:sz w:val="24"/>
          <w:szCs w:val="24"/>
        </w:rPr>
        <w:t>korisnik bespovratnih sredstava iz Fondova</w:t>
      </w:r>
    </w:p>
    <w:p w14:paraId="2835BA39" w14:textId="77777777" w:rsidR="00A64959" w:rsidRPr="009903F3"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9903F3">
        <w:rPr>
          <w:rFonts w:ascii="Times New Roman" w:hAnsi="Times New Roman"/>
          <w:sz w:val="24"/>
          <w:szCs w:val="24"/>
        </w:rPr>
        <w:t>&lt;Puno službeno ime i adresa Korisnika&gt;</w:t>
      </w:r>
    </w:p>
    <w:p w14:paraId="3035D9ED" w14:textId="77777777" w:rsidR="00A64959" w:rsidRPr="009903F3" w:rsidRDefault="00A64959" w:rsidP="0044120D">
      <w:pPr>
        <w:spacing w:after="0" w:line="240" w:lineRule="auto"/>
        <w:jc w:val="both"/>
        <w:rPr>
          <w:rFonts w:ascii="Times New Roman" w:hAnsi="Times New Roman"/>
          <w:sz w:val="24"/>
          <w:szCs w:val="24"/>
        </w:rPr>
      </w:pPr>
      <w:r w:rsidRPr="009903F3">
        <w:rPr>
          <w:rFonts w:ascii="Times New Roman" w:hAnsi="Times New Roman"/>
          <w:sz w:val="24"/>
          <w:szCs w:val="24"/>
        </w:rPr>
        <w:t xml:space="preserve">&lt;Pravni oblik&gt;  </w:t>
      </w:r>
    </w:p>
    <w:p w14:paraId="1CF61BF0" w14:textId="77777777" w:rsidR="00A64959" w:rsidRPr="009903F3" w:rsidRDefault="00A64959" w:rsidP="0044120D">
      <w:pPr>
        <w:tabs>
          <w:tab w:val="left" w:pos="4590"/>
        </w:tabs>
        <w:spacing w:after="0" w:line="240" w:lineRule="auto"/>
        <w:jc w:val="both"/>
        <w:rPr>
          <w:rFonts w:ascii="Times New Roman" w:hAnsi="Times New Roman"/>
          <w:sz w:val="24"/>
          <w:szCs w:val="24"/>
        </w:rPr>
      </w:pPr>
      <w:r w:rsidRPr="009903F3">
        <w:rPr>
          <w:rFonts w:ascii="Times New Roman" w:hAnsi="Times New Roman"/>
          <w:sz w:val="24"/>
          <w:szCs w:val="24"/>
        </w:rPr>
        <w:t>&lt;</w:t>
      </w:r>
      <w:proofErr w:type="spellStart"/>
      <w:r w:rsidRPr="009903F3">
        <w:rPr>
          <w:rFonts w:ascii="Times New Roman" w:hAnsi="Times New Roman"/>
          <w:sz w:val="24"/>
          <w:szCs w:val="24"/>
        </w:rPr>
        <w:t>OIB</w:t>
      </w:r>
      <w:proofErr w:type="spellEnd"/>
      <w:r w:rsidRPr="009903F3">
        <w:rPr>
          <w:rFonts w:ascii="Times New Roman" w:hAnsi="Times New Roman"/>
          <w:sz w:val="24"/>
          <w:szCs w:val="24"/>
        </w:rPr>
        <w:t xml:space="preserve"> -Osobni identifikacijski broj &gt;</w:t>
      </w:r>
      <w:r w:rsidRPr="009903F3">
        <w:rPr>
          <w:rFonts w:ascii="Times New Roman" w:hAnsi="Times New Roman"/>
          <w:sz w:val="24"/>
          <w:szCs w:val="24"/>
        </w:rPr>
        <w:tab/>
      </w:r>
    </w:p>
    <w:p w14:paraId="289A7A90" w14:textId="77777777" w:rsidR="00A64959" w:rsidRPr="009903F3" w:rsidRDefault="00A64959" w:rsidP="0044120D">
      <w:pPr>
        <w:spacing w:after="0" w:line="240" w:lineRule="auto"/>
        <w:jc w:val="both"/>
        <w:rPr>
          <w:rFonts w:ascii="Times New Roman" w:hAnsi="Times New Roman"/>
          <w:sz w:val="24"/>
          <w:szCs w:val="24"/>
        </w:rPr>
      </w:pPr>
      <w:r w:rsidRPr="009903F3">
        <w:rPr>
          <w:rFonts w:ascii="Times New Roman" w:hAnsi="Times New Roman"/>
          <w:sz w:val="24"/>
          <w:szCs w:val="24"/>
        </w:rPr>
        <w:t>[financijska institucija kod koje se vodi račun Korisnika i broj računa Korisnika &gt;]</w:t>
      </w:r>
    </w:p>
    <w:p w14:paraId="495CBEE1" w14:textId="77777777" w:rsidR="00A64959" w:rsidRPr="009903F3" w:rsidRDefault="00A64959" w:rsidP="0044120D">
      <w:pPr>
        <w:spacing w:after="0" w:line="240" w:lineRule="auto"/>
        <w:jc w:val="both"/>
        <w:rPr>
          <w:rFonts w:ascii="Times New Roman" w:hAnsi="Times New Roman"/>
          <w:sz w:val="24"/>
          <w:szCs w:val="24"/>
        </w:rPr>
      </w:pPr>
    </w:p>
    <w:p w14:paraId="06138C0B" w14:textId="77777777" w:rsidR="00A64959" w:rsidRPr="009903F3" w:rsidRDefault="00A64959" w:rsidP="0044120D">
      <w:pPr>
        <w:spacing w:after="0" w:line="240" w:lineRule="auto"/>
        <w:jc w:val="both"/>
        <w:rPr>
          <w:rFonts w:ascii="Times New Roman" w:hAnsi="Times New Roman"/>
          <w:sz w:val="24"/>
          <w:szCs w:val="24"/>
        </w:rPr>
      </w:pPr>
      <w:r w:rsidRPr="009903F3">
        <w:rPr>
          <w:rFonts w:ascii="Times New Roman" w:hAnsi="Times New Roman"/>
          <w:sz w:val="24"/>
          <w:szCs w:val="24"/>
        </w:rPr>
        <w:t xml:space="preserve"> (u daljnjem tekstu: Korisnik)</w:t>
      </w:r>
    </w:p>
    <w:p w14:paraId="36F02E5B" w14:textId="77777777" w:rsidR="00A64959" w:rsidRPr="009903F3"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9903F3"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9903F3">
        <w:rPr>
          <w:rFonts w:ascii="Times New Roman" w:hAnsi="Times New Roman"/>
          <w:sz w:val="24"/>
          <w:szCs w:val="24"/>
        </w:rPr>
        <w:t xml:space="preserve">s druge strane, </w:t>
      </w:r>
    </w:p>
    <w:p w14:paraId="260E9244" w14:textId="77777777" w:rsidR="00A64959" w:rsidRPr="009903F3"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77777777" w:rsidR="00A64959" w:rsidRPr="009903F3" w:rsidRDefault="00A64959" w:rsidP="0044120D">
      <w:pPr>
        <w:spacing w:after="0" w:line="240" w:lineRule="auto"/>
        <w:jc w:val="both"/>
        <w:rPr>
          <w:rFonts w:ascii="Times New Roman" w:hAnsi="Times New Roman"/>
          <w:sz w:val="24"/>
          <w:szCs w:val="24"/>
        </w:rPr>
      </w:pPr>
      <w:r w:rsidRPr="009903F3">
        <w:rPr>
          <w:rFonts w:ascii="Times New Roman" w:hAnsi="Times New Roman"/>
          <w:sz w:val="24"/>
          <w:szCs w:val="24"/>
        </w:rPr>
        <w:t xml:space="preserve">(u daljnjem tekstu: Strane) složile su se kako slijedi: </w:t>
      </w:r>
    </w:p>
    <w:p w14:paraId="6DE3B96D" w14:textId="77777777" w:rsidR="00A64959" w:rsidRPr="009903F3" w:rsidRDefault="00A64959" w:rsidP="0044120D">
      <w:pPr>
        <w:spacing w:after="0" w:line="240" w:lineRule="auto"/>
        <w:outlineLvl w:val="0"/>
        <w:rPr>
          <w:rFonts w:ascii="Times New Roman" w:hAnsi="Times New Roman"/>
          <w:b/>
          <w:sz w:val="24"/>
          <w:szCs w:val="24"/>
        </w:rPr>
      </w:pPr>
    </w:p>
    <w:p w14:paraId="544D7DE9" w14:textId="77777777" w:rsidR="00A64959" w:rsidRPr="009903F3" w:rsidRDefault="00A64959" w:rsidP="0044120D">
      <w:pPr>
        <w:spacing w:after="0" w:line="240" w:lineRule="auto"/>
        <w:ind w:left="708"/>
        <w:jc w:val="center"/>
        <w:outlineLvl w:val="0"/>
        <w:rPr>
          <w:rFonts w:ascii="Times New Roman" w:hAnsi="Times New Roman"/>
          <w:b/>
          <w:sz w:val="24"/>
          <w:szCs w:val="24"/>
        </w:rPr>
      </w:pPr>
    </w:p>
    <w:p w14:paraId="3BE44277" w14:textId="77777777" w:rsidR="00A64959" w:rsidRPr="009903F3" w:rsidRDefault="00A64959" w:rsidP="0044120D">
      <w:pPr>
        <w:spacing w:after="0" w:line="240" w:lineRule="auto"/>
        <w:ind w:left="708"/>
        <w:jc w:val="center"/>
        <w:outlineLvl w:val="0"/>
        <w:rPr>
          <w:rFonts w:ascii="Times New Roman" w:hAnsi="Times New Roman"/>
          <w:b/>
          <w:sz w:val="24"/>
          <w:szCs w:val="24"/>
        </w:rPr>
      </w:pPr>
      <w:r w:rsidRPr="009903F3">
        <w:rPr>
          <w:rFonts w:ascii="Times New Roman" w:hAnsi="Times New Roman"/>
          <w:b/>
          <w:sz w:val="24"/>
          <w:szCs w:val="24"/>
        </w:rPr>
        <w:t>Posebni uvjeti Ugovora</w:t>
      </w:r>
    </w:p>
    <w:p w14:paraId="3ED69B82" w14:textId="77777777" w:rsidR="00A64959" w:rsidRPr="009903F3" w:rsidRDefault="00A64959" w:rsidP="0044120D">
      <w:pPr>
        <w:spacing w:after="0" w:line="240" w:lineRule="auto"/>
        <w:jc w:val="both"/>
        <w:outlineLvl w:val="0"/>
        <w:rPr>
          <w:rFonts w:ascii="Times New Roman" w:hAnsi="Times New Roman"/>
          <w:b/>
          <w:sz w:val="24"/>
          <w:szCs w:val="24"/>
        </w:rPr>
      </w:pPr>
    </w:p>
    <w:p w14:paraId="4A18A09E" w14:textId="77777777" w:rsidR="00A64959" w:rsidRPr="009903F3" w:rsidRDefault="00A64959" w:rsidP="0044120D">
      <w:pPr>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1. – Svrha</w:t>
      </w:r>
    </w:p>
    <w:p w14:paraId="2DD6B7CC" w14:textId="77777777" w:rsidR="00A64959" w:rsidRPr="009903F3" w:rsidRDefault="00A64959" w:rsidP="0044120D">
      <w:pPr>
        <w:spacing w:after="0" w:line="240" w:lineRule="auto"/>
        <w:ind w:left="567" w:hanging="567"/>
        <w:jc w:val="both"/>
        <w:outlineLvl w:val="0"/>
        <w:rPr>
          <w:rFonts w:ascii="Times New Roman" w:hAnsi="Times New Roman"/>
          <w:b/>
          <w:sz w:val="24"/>
          <w:szCs w:val="24"/>
        </w:rPr>
      </w:pPr>
    </w:p>
    <w:p w14:paraId="2155E441" w14:textId="7F6338B7"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1.1</w:t>
      </w:r>
      <w:r w:rsidRPr="009903F3">
        <w:rPr>
          <w:rFonts w:ascii="Times New Roman" w:hAnsi="Times New Roman"/>
          <w:sz w:val="24"/>
          <w:szCs w:val="24"/>
        </w:rPr>
        <w:tab/>
        <w:t>Svrha ovog Ugovora je dodijeliti bespovratna sredstava Korisniku u svrhu provedbe projekta pod nazivom:&lt;</w:t>
      </w:r>
      <w:r w:rsidRPr="009903F3">
        <w:rPr>
          <w:rFonts w:ascii="Times New Roman" w:hAnsi="Times New Roman"/>
          <w:i/>
          <w:sz w:val="24"/>
          <w:szCs w:val="24"/>
        </w:rPr>
        <w:t>naziv Projekta&gt;</w:t>
      </w:r>
      <w:r w:rsidRPr="009903F3">
        <w:rPr>
          <w:rFonts w:ascii="Times New Roman" w:hAnsi="Times New Roman"/>
          <w:sz w:val="24"/>
          <w:szCs w:val="24"/>
        </w:rPr>
        <w:t xml:space="preserve"> (u daljnjem tekstu: Projekt) opisanog u Prilogu I ovih Posebnih uvjeta</w:t>
      </w:r>
      <w:r w:rsidR="000A4A8C" w:rsidRPr="009903F3">
        <w:rPr>
          <w:rFonts w:ascii="Times New Roman" w:hAnsi="Times New Roman"/>
          <w:sz w:val="24"/>
          <w:szCs w:val="24"/>
        </w:rPr>
        <w:t xml:space="preserve"> Ugovora</w:t>
      </w:r>
      <w:r w:rsidRPr="009903F3">
        <w:rPr>
          <w:rFonts w:ascii="Times New Roman" w:hAnsi="Times New Roman"/>
          <w:sz w:val="24"/>
          <w:szCs w:val="24"/>
        </w:rPr>
        <w:t>:</w:t>
      </w:r>
      <w:r w:rsidR="00235416" w:rsidRPr="009903F3">
        <w:rPr>
          <w:rFonts w:ascii="Times New Roman" w:hAnsi="Times New Roman"/>
          <w:sz w:val="24"/>
          <w:szCs w:val="24"/>
        </w:rPr>
        <w:t xml:space="preserve"> </w:t>
      </w:r>
      <w:r w:rsidR="00BA7EF3" w:rsidRPr="009903F3">
        <w:rPr>
          <w:rFonts w:ascii="Times New Roman" w:hAnsi="Times New Roman"/>
          <w:sz w:val="24"/>
          <w:szCs w:val="24"/>
        </w:rPr>
        <w:t>Prijavni obrazac</w:t>
      </w:r>
      <w:r w:rsidRPr="009903F3">
        <w:rPr>
          <w:rFonts w:ascii="Times New Roman" w:hAnsi="Times New Roman"/>
          <w:sz w:val="24"/>
          <w:szCs w:val="24"/>
        </w:rPr>
        <w:t>, koji je sastavni dio ovog Ugovora.</w:t>
      </w:r>
    </w:p>
    <w:p w14:paraId="77224E9A" w14:textId="77777777"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1.2</w:t>
      </w:r>
      <w:r w:rsidRPr="009903F3">
        <w:rPr>
          <w:rFonts w:ascii="Times New Roman" w:hAnsi="Times New Roman"/>
          <w:sz w:val="24"/>
          <w:szCs w:val="24"/>
        </w:rPr>
        <w:tab/>
        <w:t xml:space="preserve">Bespovratna sredstva se dodjeljuju Korisniku u skladu s uvjetima utvrđenima u Općim uvjetima i u ovim Posebnim uvjetima Ugovora, za koje Korisnik ovim putem izjavljuje da ih je u cijelosti primio na znanje i prihvatio.   </w:t>
      </w:r>
    </w:p>
    <w:p w14:paraId="7A2E649A" w14:textId="044E1F5E"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lastRenderedPageBreak/>
        <w:t>1.3</w:t>
      </w:r>
      <w:r w:rsidRPr="009903F3">
        <w:rPr>
          <w:rFonts w:ascii="Times New Roman" w:hAnsi="Times New Roman"/>
          <w:sz w:val="24"/>
          <w:szCs w:val="24"/>
        </w:rPr>
        <w:tab/>
        <w:t>Korisnik se obvezuje provesti Projekt u skladu s opisom i opsegom Projekta u  skladu s točkom 1</w:t>
      </w:r>
      <w:r w:rsidR="002B0CDC" w:rsidRPr="009903F3">
        <w:rPr>
          <w:rFonts w:ascii="Times New Roman" w:hAnsi="Times New Roman"/>
          <w:sz w:val="24"/>
          <w:szCs w:val="24"/>
        </w:rPr>
        <w:t>2</w:t>
      </w:r>
      <w:r w:rsidRPr="009903F3">
        <w:rPr>
          <w:rFonts w:ascii="Times New Roman" w:hAnsi="Times New Roman"/>
          <w:sz w:val="24"/>
          <w:szCs w:val="24"/>
        </w:rPr>
        <w:t>.1 ovih Posebnih uvjeta Ugovora, Općim uvjetima Ugovora te naknadnim izmjenama Projekta odnosno Ugovora.</w:t>
      </w:r>
    </w:p>
    <w:p w14:paraId="60D64F1F" w14:textId="77777777" w:rsidR="00A64959" w:rsidRPr="009903F3" w:rsidRDefault="00A64959" w:rsidP="0044120D">
      <w:pPr>
        <w:spacing w:after="0" w:line="240" w:lineRule="auto"/>
        <w:ind w:left="567" w:hanging="567"/>
        <w:jc w:val="both"/>
        <w:rPr>
          <w:rFonts w:ascii="Times New Roman" w:hAnsi="Times New Roman"/>
          <w:sz w:val="24"/>
          <w:szCs w:val="24"/>
        </w:rPr>
      </w:pPr>
    </w:p>
    <w:p w14:paraId="18A636C0" w14:textId="77777777" w:rsidR="00A64959" w:rsidRPr="009903F3" w:rsidRDefault="00A64959" w:rsidP="0044120D">
      <w:pPr>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2. –  Provedba i financijsko razdoblje Projekta</w:t>
      </w:r>
    </w:p>
    <w:p w14:paraId="3B8F1919" w14:textId="77777777" w:rsidR="00A64959" w:rsidRPr="009903F3" w:rsidRDefault="00A64959" w:rsidP="0044120D">
      <w:pPr>
        <w:spacing w:after="0" w:line="240" w:lineRule="auto"/>
        <w:ind w:left="567" w:hanging="567"/>
        <w:jc w:val="both"/>
        <w:outlineLvl w:val="0"/>
        <w:rPr>
          <w:rFonts w:ascii="Times New Roman" w:hAnsi="Times New Roman"/>
          <w:b/>
          <w:sz w:val="24"/>
          <w:szCs w:val="24"/>
        </w:rPr>
      </w:pPr>
    </w:p>
    <w:p w14:paraId="7BC2BA81" w14:textId="77777777"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2.1</w:t>
      </w:r>
      <w:r w:rsidRPr="009903F3">
        <w:rPr>
          <w:rFonts w:ascii="Times New Roman" w:hAnsi="Times New Roman"/>
          <w:sz w:val="24"/>
          <w:szCs w:val="24"/>
        </w:rPr>
        <w:tab/>
        <w:t>Ovaj Ugovor stupa na snagu onoga dana kada ga potpiše posljednja Strana te je na snazi do izvršenja svih obaveza ugovornih Strana</w:t>
      </w:r>
      <w:r w:rsidRPr="009903F3">
        <w:rPr>
          <w:rFonts w:ascii="Times New Roman" w:hAnsi="Times New Roman"/>
          <w:snapToGrid w:val="0"/>
          <w:sz w:val="24"/>
          <w:szCs w:val="24"/>
        </w:rPr>
        <w:t>.</w:t>
      </w:r>
    </w:p>
    <w:p w14:paraId="795FD4F3" w14:textId="1C9BCB8D" w:rsidR="00A64959" w:rsidRPr="009903F3" w:rsidRDefault="00A64959" w:rsidP="001B4B86">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2.2</w:t>
      </w:r>
      <w:r w:rsidRPr="009903F3">
        <w:rPr>
          <w:rFonts w:ascii="Times New Roman" w:hAnsi="Times New Roman"/>
          <w:sz w:val="24"/>
          <w:szCs w:val="24"/>
        </w:rPr>
        <w:tab/>
        <w:t>Razdoblje provedbe Projekta je od &lt;…&gt; do &lt;…&gt;</w:t>
      </w:r>
      <w:r w:rsidR="00D3055C" w:rsidRPr="009903F3">
        <w:rPr>
          <w:rFonts w:ascii="Times New Roman" w:hAnsi="Times New Roman"/>
          <w:sz w:val="24"/>
          <w:szCs w:val="24"/>
        </w:rPr>
        <w:t xml:space="preserve">, a provedba obvezne revizije projekta prihvatljiva je do roka za dostavu </w:t>
      </w:r>
      <w:r w:rsidR="002B0CDC" w:rsidRPr="009903F3">
        <w:rPr>
          <w:rFonts w:ascii="Times New Roman" w:hAnsi="Times New Roman"/>
          <w:sz w:val="24"/>
          <w:szCs w:val="24"/>
        </w:rPr>
        <w:t>Z</w:t>
      </w:r>
      <w:r w:rsidR="00D3055C" w:rsidRPr="009903F3">
        <w:rPr>
          <w:rFonts w:ascii="Times New Roman" w:hAnsi="Times New Roman"/>
          <w:sz w:val="24"/>
          <w:szCs w:val="24"/>
        </w:rPr>
        <w:t>avršnog izvješća</w:t>
      </w:r>
      <w:r w:rsidRPr="009903F3">
        <w:rPr>
          <w:rFonts w:ascii="Times New Roman" w:hAnsi="Times New Roman"/>
          <w:sz w:val="24"/>
          <w:szCs w:val="24"/>
        </w:rPr>
        <w:t xml:space="preserve">. </w:t>
      </w:r>
    </w:p>
    <w:p w14:paraId="6C796317" w14:textId="483A137E" w:rsidR="00A64959" w:rsidRPr="009903F3" w:rsidRDefault="001B4B86"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2.3</w:t>
      </w:r>
      <w:r w:rsidR="00A64959" w:rsidRPr="009903F3">
        <w:rPr>
          <w:rFonts w:ascii="Times New Roman" w:hAnsi="Times New Roman"/>
          <w:sz w:val="24"/>
          <w:szCs w:val="24"/>
        </w:rPr>
        <w:t xml:space="preserve"> </w:t>
      </w:r>
      <w:r w:rsidR="00A64959" w:rsidRPr="009903F3">
        <w:rPr>
          <w:rFonts w:ascii="Times New Roman" w:hAnsi="Times New Roman"/>
          <w:sz w:val="24"/>
          <w:szCs w:val="24"/>
        </w:rPr>
        <w:tab/>
        <w:t xml:space="preserve">Razdoblje prihvatljivosti izdataka Projekta </w:t>
      </w:r>
      <w:r w:rsidR="00C53A9E" w:rsidRPr="009903F3">
        <w:rPr>
          <w:rFonts w:ascii="Times New Roman" w:hAnsi="Times New Roman"/>
          <w:sz w:val="24"/>
          <w:szCs w:val="24"/>
        </w:rPr>
        <w:t xml:space="preserve">je razdoblje od početka razdoblja provedbe Projekta, a najkasnije do dostave Završnog izvješća i Završnog </w:t>
      </w:r>
      <w:proofErr w:type="spellStart"/>
      <w:r w:rsidR="00C53A9E" w:rsidRPr="009903F3">
        <w:rPr>
          <w:rFonts w:ascii="Times New Roman" w:hAnsi="Times New Roman"/>
          <w:sz w:val="24"/>
          <w:szCs w:val="24"/>
        </w:rPr>
        <w:t>ZNS</w:t>
      </w:r>
      <w:proofErr w:type="spellEnd"/>
      <w:r w:rsidR="00C53A9E" w:rsidRPr="009903F3">
        <w:rPr>
          <w:rFonts w:ascii="Times New Roman" w:hAnsi="Times New Roman"/>
          <w:sz w:val="24"/>
          <w:szCs w:val="24"/>
        </w:rPr>
        <w:t>-a</w:t>
      </w:r>
      <w:r w:rsidR="00A64959" w:rsidRPr="009903F3">
        <w:rPr>
          <w:rFonts w:ascii="Times New Roman" w:hAnsi="Times New Roman"/>
          <w:sz w:val="24"/>
          <w:szCs w:val="24"/>
        </w:rPr>
        <w:t xml:space="preserve"> od &lt;…&gt; do &lt;…&gt;.</w:t>
      </w:r>
    </w:p>
    <w:p w14:paraId="07DB4A17" w14:textId="1FDC97AC" w:rsidR="00A64959" w:rsidRPr="009903F3" w:rsidRDefault="001B4B86"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2.4</w:t>
      </w:r>
      <w:r w:rsidR="00A64959" w:rsidRPr="009903F3">
        <w:rPr>
          <w:rFonts w:ascii="Times New Roman" w:hAnsi="Times New Roman"/>
          <w:sz w:val="24"/>
          <w:szCs w:val="24"/>
        </w:rPr>
        <w:t xml:space="preserve">  </w:t>
      </w:r>
      <w:r w:rsidR="00BB7C24" w:rsidRPr="009903F3">
        <w:rPr>
          <w:rFonts w:ascii="Times New Roman" w:hAnsi="Times New Roman"/>
          <w:sz w:val="24"/>
          <w:szCs w:val="24"/>
        </w:rPr>
        <w:tab/>
      </w:r>
      <w:r w:rsidR="00A64959" w:rsidRPr="009903F3">
        <w:rPr>
          <w:rFonts w:ascii="Times New Roman" w:hAnsi="Times New Roman"/>
          <w:sz w:val="24"/>
          <w:szCs w:val="24"/>
        </w:rPr>
        <w:t>Završni zahtjev za nadoknadom sredstava i Završno izvješće podnose se PT-u 2</w:t>
      </w:r>
      <w:r w:rsidR="00D3055C" w:rsidRPr="009903F3">
        <w:rPr>
          <w:rFonts w:ascii="Times New Roman" w:hAnsi="Times New Roman"/>
          <w:sz w:val="24"/>
          <w:szCs w:val="24"/>
        </w:rPr>
        <w:t xml:space="preserve"> u roku od 30 dana od isteka razdoblja provedbe projekta</w:t>
      </w:r>
      <w:r w:rsidR="00A64959" w:rsidRPr="009903F3">
        <w:rPr>
          <w:rFonts w:ascii="Times New Roman" w:hAnsi="Times New Roman"/>
          <w:sz w:val="24"/>
          <w:szCs w:val="24"/>
        </w:rPr>
        <w:t>.</w:t>
      </w:r>
    </w:p>
    <w:p w14:paraId="1F3726F2" w14:textId="2714767B" w:rsidR="00A64959" w:rsidRPr="009903F3" w:rsidRDefault="004E79CD" w:rsidP="00235416">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 xml:space="preserve">2.5. </w:t>
      </w:r>
      <w:r w:rsidRPr="009903F3">
        <w:rPr>
          <w:rFonts w:ascii="Times New Roman" w:hAnsi="Times New Roman"/>
          <w:sz w:val="24"/>
          <w:szCs w:val="24"/>
        </w:rPr>
        <w:tab/>
        <w:t xml:space="preserve">Temeljem članka 19.4 Općih uvjeta Ugovora, dopunjuje se članak 19.8 Općih uvjeta Ugovora na način da se nedopustivost preraspodjele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odnosi i na </w:t>
      </w:r>
      <w:r w:rsidR="00637782">
        <w:rPr>
          <w:rFonts w:ascii="Times New Roman" w:hAnsi="Times New Roman"/>
          <w:sz w:val="24"/>
          <w:szCs w:val="24"/>
        </w:rPr>
        <w:t>prekoračenje</w:t>
      </w:r>
      <w:r w:rsidR="00637782" w:rsidRPr="009903F3">
        <w:rPr>
          <w:rFonts w:ascii="Times New Roman" w:hAnsi="Times New Roman"/>
          <w:sz w:val="24"/>
          <w:szCs w:val="24"/>
        </w:rPr>
        <w:t xml:space="preserve"> </w:t>
      </w:r>
      <w:r w:rsidRPr="009903F3">
        <w:rPr>
          <w:rFonts w:ascii="Times New Roman" w:hAnsi="Times New Roman"/>
          <w:sz w:val="24"/>
          <w:szCs w:val="24"/>
        </w:rPr>
        <w:t>intenziteta potpore te najvišeg iznosa bespovratnih sredstava za određenu kategoriju državnih potpora određenih za svakog pojedinačnog partnera i/ili korisnika.</w:t>
      </w:r>
    </w:p>
    <w:p w14:paraId="21DDD820" w14:textId="77777777" w:rsidR="00A64959" w:rsidRPr="009903F3" w:rsidRDefault="00A64959" w:rsidP="0044120D">
      <w:pPr>
        <w:spacing w:after="0" w:line="240" w:lineRule="auto"/>
        <w:ind w:left="567" w:hanging="567"/>
        <w:jc w:val="both"/>
        <w:rPr>
          <w:rFonts w:ascii="Times New Roman" w:hAnsi="Times New Roman"/>
          <w:sz w:val="24"/>
          <w:szCs w:val="24"/>
        </w:rPr>
      </w:pPr>
    </w:p>
    <w:p w14:paraId="56B915AC" w14:textId="0B9889CD" w:rsidR="00A64959" w:rsidRPr="009903F3" w:rsidRDefault="00A64959" w:rsidP="0044120D">
      <w:pPr>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3.</w:t>
      </w:r>
      <w:r w:rsidR="001B4B86" w:rsidRPr="009903F3">
        <w:rPr>
          <w:rFonts w:ascii="Times New Roman" w:hAnsi="Times New Roman"/>
          <w:b/>
          <w:sz w:val="24"/>
          <w:szCs w:val="24"/>
        </w:rPr>
        <w:t xml:space="preserve"> – Iznos bespovratnih sredstava</w:t>
      </w:r>
      <w:r w:rsidRPr="009903F3">
        <w:rPr>
          <w:rFonts w:ascii="Times New Roman" w:hAnsi="Times New Roman"/>
          <w:b/>
          <w:sz w:val="24"/>
          <w:szCs w:val="24"/>
        </w:rPr>
        <w:t xml:space="preserve">, postotak financiranja Projekta i uređenje plaćanja </w:t>
      </w:r>
    </w:p>
    <w:p w14:paraId="15813D5B" w14:textId="77777777" w:rsidR="00A64959" w:rsidRPr="009903F3" w:rsidRDefault="00A64959" w:rsidP="0044120D">
      <w:pPr>
        <w:spacing w:after="0" w:line="240" w:lineRule="auto"/>
        <w:ind w:left="567" w:hanging="567"/>
        <w:jc w:val="both"/>
        <w:outlineLvl w:val="0"/>
        <w:rPr>
          <w:rFonts w:ascii="Times New Roman" w:hAnsi="Times New Roman"/>
          <w:b/>
          <w:sz w:val="24"/>
          <w:szCs w:val="24"/>
        </w:rPr>
      </w:pPr>
    </w:p>
    <w:p w14:paraId="1A1B85AE" w14:textId="5FCC7C35"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3.1</w:t>
      </w:r>
      <w:r w:rsidRPr="009903F3">
        <w:rPr>
          <w:rFonts w:ascii="Times New Roman" w:hAnsi="Times New Roman"/>
          <w:sz w:val="24"/>
          <w:szCs w:val="24"/>
        </w:rPr>
        <w:tab/>
        <w:t>Ukupna vrijednost Projekta se određuje na &lt;…. &gt; kuna.</w:t>
      </w:r>
    </w:p>
    <w:p w14:paraId="2CE431D7" w14:textId="221D75B9"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3.2</w:t>
      </w:r>
      <w:r w:rsidRPr="009903F3">
        <w:rPr>
          <w:rFonts w:ascii="Times New Roman" w:hAnsi="Times New Roman"/>
          <w:sz w:val="24"/>
          <w:szCs w:val="24"/>
        </w:rPr>
        <w:tab/>
        <w:t xml:space="preserve">Ukupni prihvatljivi troškovi se određuju na &lt;…&gt; kuna, kao što je utvrđeno u Prilogu I </w:t>
      </w:r>
      <w:r w:rsidR="00BA7EF3" w:rsidRPr="009903F3">
        <w:rPr>
          <w:rFonts w:ascii="Times New Roman" w:hAnsi="Times New Roman"/>
          <w:sz w:val="24"/>
          <w:szCs w:val="24"/>
        </w:rPr>
        <w:t>Prijavni obrazac</w:t>
      </w:r>
      <w:r w:rsidRPr="009903F3">
        <w:rPr>
          <w:rFonts w:ascii="Times New Roman" w:hAnsi="Times New Roman"/>
          <w:sz w:val="24"/>
          <w:szCs w:val="24"/>
        </w:rPr>
        <w:t>, a  u skladu s Općim uvjetima Ugovora.</w:t>
      </w:r>
    </w:p>
    <w:p w14:paraId="4958BF79" w14:textId="77777777"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3.3</w:t>
      </w:r>
      <w:r w:rsidRPr="009903F3">
        <w:rPr>
          <w:rFonts w:ascii="Times New Roman" w:hAnsi="Times New Roman"/>
          <w:sz w:val="24"/>
          <w:szCs w:val="24"/>
        </w:rPr>
        <w:tab/>
        <w:t xml:space="preserve">Dodjeljuju se bespovratna sredstva u iznosu od &lt;…&gt; kuna što je najviši mogući iznos sufinanciranja ukupno utvrđene vrijednosti prihvatljivih izdataka Projekta navedenih u točki 3.2. ovog članka. </w:t>
      </w:r>
    </w:p>
    <w:p w14:paraId="6CB671E6" w14:textId="77777777" w:rsidR="00A64959" w:rsidRPr="009903F3" w:rsidRDefault="00A64959" w:rsidP="0044120D">
      <w:pPr>
        <w:spacing w:after="0" w:line="240" w:lineRule="auto"/>
        <w:ind w:left="567"/>
        <w:jc w:val="both"/>
        <w:rPr>
          <w:rFonts w:ascii="Times New Roman" w:hAnsi="Times New Roman"/>
          <w:sz w:val="24"/>
          <w:szCs w:val="24"/>
        </w:rPr>
      </w:pPr>
      <w:r w:rsidRPr="009903F3">
        <w:rPr>
          <w:rFonts w:ascii="Times New Roman" w:hAnsi="Times New Roman"/>
          <w:sz w:val="24"/>
          <w:szCs w:val="24"/>
        </w:rPr>
        <w:t>Iznosi bespovratnih sredstava koji se plaćaju Korisniku tijekom provedbe projekta i konačni iznos financiranja utvrđuju se u skladu s člankom 17. Općih uvjeta Ugovora.</w:t>
      </w:r>
    </w:p>
    <w:p w14:paraId="6359113D" w14:textId="5712173C" w:rsidR="00A64959" w:rsidRPr="009903F3" w:rsidRDefault="00A64959" w:rsidP="00BB7C24">
      <w:pPr>
        <w:spacing w:after="0" w:line="240" w:lineRule="auto"/>
        <w:ind w:left="567"/>
        <w:jc w:val="both"/>
        <w:rPr>
          <w:rFonts w:ascii="Times New Roman" w:hAnsi="Times New Roman"/>
          <w:sz w:val="24"/>
          <w:szCs w:val="24"/>
        </w:rPr>
      </w:pPr>
      <w:r w:rsidRPr="009903F3">
        <w:rPr>
          <w:rFonts w:ascii="Times New Roman" w:hAnsi="Times New Roman"/>
          <w:sz w:val="24"/>
          <w:szCs w:val="24"/>
        </w:rPr>
        <w:t xml:space="preserve">Korisnik se obvezuje osigurati sredstva u svrhu pokrića troškova i izdataka za koje se naknadno utvrdi da su neprihvatljivi te je </w:t>
      </w:r>
      <w:r w:rsidR="00391826" w:rsidRPr="009903F3">
        <w:rPr>
          <w:rFonts w:ascii="Times New Roman" w:hAnsi="Times New Roman"/>
          <w:sz w:val="24"/>
          <w:szCs w:val="24"/>
        </w:rPr>
        <w:t xml:space="preserve">odgovoran </w:t>
      </w:r>
      <w:r w:rsidRPr="009903F3">
        <w:rPr>
          <w:rFonts w:ascii="Times New Roman" w:hAnsi="Times New Roman"/>
          <w:sz w:val="24"/>
          <w:szCs w:val="24"/>
        </w:rPr>
        <w:t xml:space="preserve">za osiguravanje raspoloživosti sredstava ukupne projektne vrijednosti u svrhu pokrića neprihvatljivih troškova i izdataka. </w:t>
      </w:r>
    </w:p>
    <w:p w14:paraId="211B9C7E" w14:textId="77D5B1E5" w:rsidR="0017016C" w:rsidRPr="009903F3" w:rsidRDefault="0017016C" w:rsidP="0017016C">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3.4.</w:t>
      </w:r>
      <w:r w:rsidRPr="009903F3">
        <w:rPr>
          <w:rFonts w:ascii="Times New Roman" w:hAnsi="Times New Roman"/>
          <w:sz w:val="24"/>
          <w:szCs w:val="24"/>
        </w:rPr>
        <w:tab/>
        <w:t>Iznos za plaćanje po pojedinom Zahtjevu za nadoknadom sredstava/završnom Zahtjevu za nadoknadom sredstava utvrđuje se provjerom svakog zahtjeva, uzimajući u obzir metode nadoknade sredstava, isplaćeni predujam i intenzitete potpore.</w:t>
      </w:r>
    </w:p>
    <w:p w14:paraId="5B709757" w14:textId="5C23B0DC" w:rsidR="00E325D9" w:rsidRPr="009903F3" w:rsidRDefault="00A64959" w:rsidP="0044120D">
      <w:pPr>
        <w:tabs>
          <w:tab w:val="left" w:pos="567"/>
        </w:tabs>
        <w:spacing w:after="0" w:line="240" w:lineRule="auto"/>
        <w:ind w:left="567" w:hanging="567"/>
        <w:jc w:val="both"/>
        <w:outlineLvl w:val="0"/>
        <w:rPr>
          <w:rFonts w:ascii="Times New Roman" w:hAnsi="Times New Roman"/>
          <w:i/>
          <w:sz w:val="24"/>
          <w:szCs w:val="24"/>
        </w:rPr>
      </w:pPr>
      <w:r w:rsidRPr="009903F3">
        <w:rPr>
          <w:rFonts w:ascii="Times New Roman" w:hAnsi="Times New Roman"/>
          <w:sz w:val="24"/>
          <w:szCs w:val="24"/>
        </w:rPr>
        <w:t>3.</w:t>
      </w:r>
      <w:r w:rsidR="00235416" w:rsidRPr="009903F3">
        <w:rPr>
          <w:rFonts w:ascii="Times New Roman" w:hAnsi="Times New Roman"/>
          <w:sz w:val="24"/>
          <w:szCs w:val="24"/>
        </w:rPr>
        <w:t>5</w:t>
      </w:r>
      <w:r w:rsidRPr="009903F3">
        <w:rPr>
          <w:rFonts w:ascii="Times New Roman" w:hAnsi="Times New Roman"/>
          <w:sz w:val="24"/>
          <w:szCs w:val="24"/>
        </w:rPr>
        <w:tab/>
      </w:r>
      <w:r w:rsidR="00E325D9" w:rsidRPr="009903F3">
        <w:rPr>
          <w:rFonts w:ascii="Times New Roman" w:hAnsi="Times New Roman"/>
          <w:iCs/>
          <w:sz w:val="24"/>
          <w:szCs w:val="24"/>
        </w:rPr>
        <w:t>U Zahtjevu za nadoknadom sredstava za zadnja tri mjeseca provedbe i u završnom Zahtjevu za nadoknadom sredstava korisnik troškove može potraživati samo putem metode nadoknade.</w:t>
      </w:r>
    </w:p>
    <w:p w14:paraId="188E7987" w14:textId="0FD0B2C1" w:rsidR="00A64959" w:rsidRPr="009903F3" w:rsidRDefault="00A64959">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3.</w:t>
      </w:r>
      <w:r w:rsidR="00235416" w:rsidRPr="009903F3">
        <w:rPr>
          <w:rFonts w:ascii="Times New Roman" w:hAnsi="Times New Roman"/>
          <w:sz w:val="24"/>
          <w:szCs w:val="24"/>
        </w:rPr>
        <w:t>6</w:t>
      </w:r>
      <w:r w:rsidRPr="009903F3">
        <w:rPr>
          <w:rFonts w:ascii="Times New Roman" w:hAnsi="Times New Roman"/>
          <w:sz w:val="24"/>
          <w:szCs w:val="24"/>
        </w:rPr>
        <w:tab/>
        <w:t xml:space="preserve">Korisnik ima pravo zatražiti plaćanje predujma. Ukupni iznos predujma ne može biti viši od &lt;… &gt; kuna. </w:t>
      </w:r>
    </w:p>
    <w:p w14:paraId="2CD8EFCF" w14:textId="3ECB8AF6"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3.</w:t>
      </w:r>
      <w:r w:rsidR="00235416" w:rsidRPr="009903F3">
        <w:rPr>
          <w:rFonts w:ascii="Times New Roman" w:hAnsi="Times New Roman"/>
          <w:sz w:val="24"/>
          <w:szCs w:val="24"/>
        </w:rPr>
        <w:t>7</w:t>
      </w:r>
      <w:r w:rsidRPr="009903F3">
        <w:rPr>
          <w:rFonts w:ascii="Times New Roman" w:hAnsi="Times New Roman"/>
          <w:sz w:val="24"/>
          <w:szCs w:val="24"/>
        </w:rPr>
        <w:t xml:space="preserve"> </w:t>
      </w:r>
      <w:r w:rsidRPr="009903F3">
        <w:rPr>
          <w:rFonts w:ascii="Times New Roman" w:hAnsi="Times New Roman"/>
          <w:sz w:val="24"/>
          <w:szCs w:val="24"/>
        </w:rPr>
        <w:tab/>
        <w:t>Ako Korisnik ne postupa u skladu s odlukom PT-a 1 kojom je naložen povrat sredstava, i/ili je bankovni račun Korisnika blokiran zbog prisilne naplate potraživanja ili drugih razloga, u odnosu na Korisnika obustavljaju se daljnje isplate iz točke 3</w:t>
      </w:r>
      <w:r w:rsidR="008B70BC" w:rsidRPr="009903F3">
        <w:rPr>
          <w:rFonts w:ascii="Times New Roman" w:hAnsi="Times New Roman"/>
          <w:sz w:val="24"/>
          <w:szCs w:val="24"/>
        </w:rPr>
        <w:t xml:space="preserve">.3. ovog članka, </w:t>
      </w:r>
      <w:r w:rsidR="008B70BC" w:rsidRPr="009903F3">
        <w:rPr>
          <w:rFonts w:ascii="Times New Roman" w:hAnsi="Times New Roman"/>
          <w:sz w:val="24"/>
          <w:szCs w:val="24"/>
        </w:rPr>
        <w:lastRenderedPageBreak/>
        <w:t xml:space="preserve">koje vrši </w:t>
      </w:r>
      <w:proofErr w:type="spellStart"/>
      <w:r w:rsidR="008B70BC" w:rsidRPr="009903F3">
        <w:rPr>
          <w:rFonts w:ascii="Times New Roman" w:hAnsi="Times New Roman"/>
          <w:sz w:val="24"/>
          <w:szCs w:val="24"/>
        </w:rPr>
        <w:t>PT1</w:t>
      </w:r>
      <w:proofErr w:type="spellEnd"/>
      <w:r w:rsidR="008B70BC" w:rsidRPr="009903F3">
        <w:rPr>
          <w:rFonts w:ascii="Times New Roman" w:hAnsi="Times New Roman"/>
          <w:sz w:val="24"/>
          <w:szCs w:val="24"/>
        </w:rPr>
        <w:t xml:space="preserve"> </w:t>
      </w:r>
      <w:r w:rsidRPr="009903F3">
        <w:rPr>
          <w:rFonts w:ascii="Times New Roman" w:hAnsi="Times New Roman"/>
          <w:sz w:val="24"/>
          <w:szCs w:val="24"/>
        </w:rPr>
        <w:t xml:space="preserve">ili se po odluci PT-a 1 iznos  koji je Korisnik trebao vratiti odbija od iznosa daljnjih plaćanja.  </w:t>
      </w:r>
    </w:p>
    <w:p w14:paraId="5C16A80F" w14:textId="3930979F" w:rsidR="003437A3" w:rsidRPr="009903F3" w:rsidRDefault="003437A3"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3.</w:t>
      </w:r>
      <w:r w:rsidR="00235416" w:rsidRPr="009903F3">
        <w:rPr>
          <w:rFonts w:ascii="Times New Roman" w:hAnsi="Times New Roman"/>
          <w:sz w:val="24"/>
          <w:szCs w:val="24"/>
        </w:rPr>
        <w:t>8</w:t>
      </w:r>
      <w:r w:rsidRPr="009903F3">
        <w:rPr>
          <w:rFonts w:ascii="Times New Roman" w:hAnsi="Times New Roman"/>
          <w:sz w:val="24"/>
          <w:szCs w:val="24"/>
        </w:rPr>
        <w:t xml:space="preserve"> </w:t>
      </w:r>
      <w:r w:rsidRPr="009903F3">
        <w:rPr>
          <w:rFonts w:ascii="Times New Roman" w:hAnsi="Times New Roman"/>
          <w:sz w:val="24"/>
          <w:szCs w:val="24"/>
        </w:rPr>
        <w:tab/>
        <w:t xml:space="preserve">U tijeku provedbe obvezno je izraditi Studiju provjere i zaštite intelektualnog vlasništva proizašlog iz projekta. Studija provjere i zaštite intelektualnog vlasništva nad rezultatima projekta mora biti dostavljena uz </w:t>
      </w:r>
      <w:r w:rsidR="008C3555" w:rsidRPr="009903F3">
        <w:rPr>
          <w:rFonts w:ascii="Times New Roman" w:hAnsi="Times New Roman"/>
          <w:sz w:val="24"/>
          <w:szCs w:val="24"/>
        </w:rPr>
        <w:t xml:space="preserve">Završno </w:t>
      </w:r>
      <w:r w:rsidRPr="009903F3">
        <w:rPr>
          <w:rFonts w:ascii="Times New Roman" w:hAnsi="Times New Roman"/>
          <w:sz w:val="24"/>
          <w:szCs w:val="24"/>
        </w:rPr>
        <w:t xml:space="preserve">izvješće. Ukoliko Studija pokaže da rezultati projekta nisu </w:t>
      </w:r>
      <w:proofErr w:type="spellStart"/>
      <w:r w:rsidRPr="009903F3">
        <w:rPr>
          <w:rFonts w:ascii="Times New Roman" w:hAnsi="Times New Roman"/>
          <w:sz w:val="24"/>
          <w:szCs w:val="24"/>
        </w:rPr>
        <w:t>patentibilni</w:t>
      </w:r>
      <w:proofErr w:type="spellEnd"/>
      <w:r w:rsidRPr="009903F3">
        <w:rPr>
          <w:rFonts w:ascii="Times New Roman" w:hAnsi="Times New Roman"/>
          <w:sz w:val="24"/>
          <w:szCs w:val="24"/>
        </w:rPr>
        <w:t xml:space="preserve">, nepostizanje zadanog pokazatelja </w:t>
      </w:r>
      <w:r w:rsidRPr="009903F3">
        <w:rPr>
          <w:rFonts w:ascii="Times New Roman" w:hAnsi="Times New Roman"/>
          <w:i/>
          <w:sz w:val="24"/>
          <w:szCs w:val="24"/>
        </w:rPr>
        <w:t>Broj patentnih prijava od strane domaćih pravnih osoba</w:t>
      </w:r>
      <w:r w:rsidRPr="009903F3">
        <w:rPr>
          <w:rFonts w:ascii="Times New Roman" w:hAnsi="Times New Roman"/>
          <w:sz w:val="24"/>
          <w:szCs w:val="24"/>
        </w:rPr>
        <w:t xml:space="preserve"> neće imati za posljedicu financijske korekcije.</w:t>
      </w:r>
    </w:p>
    <w:p w14:paraId="1974A1C8" w14:textId="77777777" w:rsidR="00A64959" w:rsidRPr="009903F3" w:rsidRDefault="00A64959" w:rsidP="0044120D">
      <w:pPr>
        <w:tabs>
          <w:tab w:val="left" w:pos="567"/>
        </w:tabs>
        <w:spacing w:after="0" w:line="240" w:lineRule="auto"/>
        <w:jc w:val="both"/>
        <w:outlineLvl w:val="0"/>
        <w:rPr>
          <w:rFonts w:ascii="Times New Roman" w:hAnsi="Times New Roman"/>
          <w:sz w:val="24"/>
          <w:szCs w:val="24"/>
        </w:rPr>
      </w:pPr>
    </w:p>
    <w:p w14:paraId="1E0EBF4D" w14:textId="77777777" w:rsidR="00BB7C24" w:rsidRPr="009903F3" w:rsidRDefault="00BB7C24" w:rsidP="0044120D">
      <w:pPr>
        <w:tabs>
          <w:tab w:val="left" w:pos="567"/>
        </w:tabs>
        <w:spacing w:after="0" w:line="240" w:lineRule="auto"/>
        <w:jc w:val="both"/>
        <w:outlineLvl w:val="0"/>
        <w:rPr>
          <w:rFonts w:ascii="Times New Roman" w:hAnsi="Times New Roman"/>
          <w:sz w:val="24"/>
          <w:szCs w:val="24"/>
        </w:rPr>
      </w:pPr>
    </w:p>
    <w:p w14:paraId="36CDB5BB" w14:textId="77777777" w:rsidR="00BB7C24" w:rsidRPr="009903F3" w:rsidRDefault="00BB7C24" w:rsidP="0044120D">
      <w:pPr>
        <w:tabs>
          <w:tab w:val="left" w:pos="567"/>
        </w:tabs>
        <w:spacing w:after="0" w:line="240" w:lineRule="auto"/>
        <w:jc w:val="both"/>
        <w:outlineLvl w:val="0"/>
        <w:rPr>
          <w:rFonts w:ascii="Times New Roman" w:hAnsi="Times New Roman"/>
          <w:sz w:val="24"/>
          <w:szCs w:val="24"/>
        </w:rPr>
      </w:pPr>
    </w:p>
    <w:p w14:paraId="07ABF675" w14:textId="3735AA00" w:rsidR="00A64959" w:rsidRPr="009903F3" w:rsidRDefault="00A64959" w:rsidP="00BB7C24">
      <w:pPr>
        <w:spacing w:after="0" w:line="240" w:lineRule="auto"/>
        <w:ind w:left="567" w:hanging="567"/>
        <w:jc w:val="both"/>
        <w:outlineLvl w:val="0"/>
        <w:rPr>
          <w:rFonts w:ascii="Times New Roman" w:hAnsi="Times New Roman"/>
          <w:sz w:val="24"/>
          <w:szCs w:val="24"/>
        </w:rPr>
      </w:pPr>
      <w:r w:rsidRPr="009903F3">
        <w:rPr>
          <w:rFonts w:ascii="Times New Roman" w:hAnsi="Times New Roman"/>
          <w:b/>
          <w:sz w:val="24"/>
          <w:szCs w:val="24"/>
        </w:rPr>
        <w:t>Članak 4. Trajnost projekta</w:t>
      </w:r>
    </w:p>
    <w:p w14:paraId="20C7A356" w14:textId="77777777" w:rsidR="00BB7C24" w:rsidRPr="009903F3" w:rsidRDefault="00BB7C24" w:rsidP="00BB7C24">
      <w:pPr>
        <w:spacing w:after="0" w:line="240" w:lineRule="auto"/>
        <w:ind w:left="567" w:hanging="567"/>
        <w:jc w:val="both"/>
        <w:outlineLvl w:val="0"/>
        <w:rPr>
          <w:rFonts w:ascii="Times New Roman" w:hAnsi="Times New Roman"/>
          <w:sz w:val="24"/>
          <w:szCs w:val="24"/>
        </w:rPr>
      </w:pPr>
    </w:p>
    <w:p w14:paraId="74251FC9" w14:textId="219ED2FD" w:rsidR="00A64959" w:rsidRPr="009903F3" w:rsidRDefault="00A64959" w:rsidP="0044120D">
      <w:pPr>
        <w:tabs>
          <w:tab w:val="left" w:pos="567"/>
        </w:tabs>
        <w:spacing w:after="0" w:line="240" w:lineRule="auto"/>
        <w:jc w:val="both"/>
        <w:outlineLvl w:val="0"/>
        <w:rPr>
          <w:rFonts w:ascii="Times New Roman" w:hAnsi="Times New Roman"/>
          <w:sz w:val="24"/>
          <w:szCs w:val="24"/>
        </w:rPr>
      </w:pPr>
      <w:r w:rsidRPr="009903F3">
        <w:rPr>
          <w:rFonts w:ascii="Times New Roman" w:hAnsi="Times New Roman"/>
          <w:sz w:val="24"/>
          <w:szCs w:val="24"/>
        </w:rPr>
        <w:t xml:space="preserve">Ograničenja opisana u članku 8. Općih uvjeta Ugovora primjenjuju se </w:t>
      </w:r>
      <w:r w:rsidR="00457EBC" w:rsidRPr="009903F3">
        <w:rPr>
          <w:rFonts w:ascii="Times New Roman" w:hAnsi="Times New Roman"/>
          <w:i/>
          <w:sz w:val="24"/>
          <w:szCs w:val="24"/>
        </w:rPr>
        <w:t xml:space="preserve">5 </w:t>
      </w:r>
      <w:r w:rsidRPr="009903F3">
        <w:rPr>
          <w:rFonts w:ascii="Times New Roman" w:hAnsi="Times New Roman"/>
          <w:sz w:val="24"/>
          <w:szCs w:val="24"/>
        </w:rPr>
        <w:t xml:space="preserve">godina nakon </w:t>
      </w:r>
      <w:r w:rsidR="000A73B0" w:rsidRPr="009903F3">
        <w:rPr>
          <w:rFonts w:ascii="Times New Roman" w:hAnsi="Times New Roman"/>
          <w:sz w:val="24"/>
          <w:szCs w:val="24"/>
        </w:rPr>
        <w:t>završnog plaćanja korisniku</w:t>
      </w:r>
      <w:r w:rsidR="00E57C6B" w:rsidRPr="009903F3">
        <w:rPr>
          <w:rFonts w:ascii="Times New Roman" w:hAnsi="Times New Roman"/>
          <w:sz w:val="24"/>
          <w:szCs w:val="24"/>
        </w:rPr>
        <w:t>.</w:t>
      </w:r>
    </w:p>
    <w:p w14:paraId="487A2609" w14:textId="77777777" w:rsidR="003C07A7" w:rsidRPr="009903F3" w:rsidRDefault="003C07A7" w:rsidP="00BB7C24">
      <w:pPr>
        <w:rPr>
          <w:rFonts w:ascii="Times New Roman" w:hAnsi="Times New Roman"/>
          <w:sz w:val="24"/>
          <w:szCs w:val="24"/>
        </w:rPr>
      </w:pPr>
    </w:p>
    <w:p w14:paraId="4F4169B7"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5. – Partneri</w:t>
      </w:r>
    </w:p>
    <w:p w14:paraId="1B816986"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B9FD90"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5.1.</w:t>
      </w:r>
      <w:r w:rsidRPr="009903F3">
        <w:rPr>
          <w:rFonts w:ascii="Times New Roman" w:hAnsi="Times New Roman"/>
          <w:sz w:val="24"/>
          <w:szCs w:val="24"/>
        </w:rPr>
        <w:tab/>
        <w:t xml:space="preserve">Projekt će provesti Korisnik i sljedeći partneri: </w:t>
      </w:r>
    </w:p>
    <w:p w14:paraId="50416CE1" w14:textId="14B0F3EB"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5.1.1. &lt;</w:t>
      </w:r>
      <w:r w:rsidRPr="009903F3">
        <w:rPr>
          <w:rFonts w:ascii="Times New Roman" w:hAnsi="Times New Roman"/>
          <w:i/>
          <w:sz w:val="24"/>
          <w:szCs w:val="24"/>
        </w:rPr>
        <w:t xml:space="preserve">Navesti puno ime/ naziv partnera i njegov </w:t>
      </w:r>
      <w:proofErr w:type="spellStart"/>
      <w:r w:rsidRPr="009903F3">
        <w:rPr>
          <w:rFonts w:ascii="Times New Roman" w:hAnsi="Times New Roman"/>
          <w:i/>
          <w:sz w:val="24"/>
          <w:szCs w:val="24"/>
        </w:rPr>
        <w:t>OIB</w:t>
      </w:r>
      <w:proofErr w:type="spellEnd"/>
      <w:r w:rsidRPr="009903F3">
        <w:rPr>
          <w:rFonts w:ascii="Times New Roman" w:hAnsi="Times New Roman"/>
          <w:sz w:val="24"/>
          <w:szCs w:val="24"/>
        </w:rPr>
        <w:t xml:space="preserve"> &gt;;</w:t>
      </w:r>
    </w:p>
    <w:p w14:paraId="11120F0C" w14:textId="77777777" w:rsidR="003C07A7" w:rsidRPr="009903F3"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8FADF55"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6. – Neprihvatljivi izdaci</w:t>
      </w:r>
    </w:p>
    <w:p w14:paraId="4B56B9C9"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7777777" w:rsidR="00A64959" w:rsidRPr="009903F3" w:rsidRDefault="00A64959" w:rsidP="0044120D">
      <w:pPr>
        <w:tabs>
          <w:tab w:val="left" w:pos="567"/>
        </w:tabs>
        <w:spacing w:after="0" w:line="240" w:lineRule="auto"/>
        <w:jc w:val="both"/>
        <w:outlineLvl w:val="0"/>
        <w:rPr>
          <w:rFonts w:ascii="Times New Roman" w:hAnsi="Times New Roman"/>
          <w:sz w:val="24"/>
          <w:szCs w:val="24"/>
        </w:rPr>
      </w:pPr>
      <w:r w:rsidRPr="009903F3">
        <w:rPr>
          <w:rFonts w:ascii="Times New Roman" w:hAnsi="Times New Roman"/>
          <w:sz w:val="24"/>
          <w:szCs w:val="24"/>
        </w:rPr>
        <w:t xml:space="preserve">6.1. Sljedeće vrste izdataka nisu prihvatljive za financiranje u okviru Projekta: </w:t>
      </w:r>
    </w:p>
    <w:p w14:paraId="54A44C6B" w14:textId="05CF45AC" w:rsidR="00457EBC" w:rsidRPr="009903F3" w:rsidRDefault="00026EC0" w:rsidP="00C53A9E">
      <w:pPr>
        <w:pStyle w:val="ListParagraph"/>
        <w:numPr>
          <w:ilvl w:val="0"/>
          <w:numId w:val="6"/>
        </w:numPr>
        <w:tabs>
          <w:tab w:val="left" w:pos="567"/>
        </w:tabs>
        <w:spacing w:after="0" w:line="240" w:lineRule="auto"/>
        <w:jc w:val="both"/>
        <w:outlineLvl w:val="0"/>
        <w:rPr>
          <w:rFonts w:ascii="Times New Roman" w:hAnsi="Times New Roman"/>
          <w:spacing w:val="-1"/>
          <w:sz w:val="24"/>
          <w:szCs w:val="24"/>
        </w:rPr>
      </w:pPr>
      <w:r w:rsidRPr="009903F3">
        <w:rPr>
          <w:rFonts w:ascii="Times New Roman" w:hAnsi="Times New Roman"/>
          <w:spacing w:val="-1"/>
          <w:sz w:val="24"/>
          <w:szCs w:val="24"/>
        </w:rPr>
        <w:t xml:space="preserve">   </w:t>
      </w:r>
      <w:r w:rsidR="00457EBC" w:rsidRPr="009903F3">
        <w:rPr>
          <w:rFonts w:ascii="Times New Roman" w:hAnsi="Times New Roman"/>
          <w:spacing w:val="-1"/>
          <w:sz w:val="24"/>
          <w:szCs w:val="24"/>
        </w:rPr>
        <w:t xml:space="preserve">Nadoknadivi PDV tj. porez na dodanu vrijednost za koji Prijavitelj/Korisnik ima pravo ostvariti odbitak </w:t>
      </w:r>
    </w:p>
    <w:p w14:paraId="3E147725" w14:textId="77777777" w:rsidR="00457EBC" w:rsidRPr="009903F3" w:rsidRDefault="00457EBC" w:rsidP="00C53A9E">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Kamate na dug</w:t>
      </w:r>
    </w:p>
    <w:p w14:paraId="322B8ADA"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4B7AA0D1"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3A7840AD"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Kupnja korištene opreme</w:t>
      </w:r>
    </w:p>
    <w:p w14:paraId="32560304"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eastAsia="Times New Roman" w:hAnsi="Times New Roman" w:cs="Times New Roman"/>
          <w:color w:val="000000"/>
          <w:sz w:val="24"/>
          <w:szCs w:val="24"/>
          <w:lang w:eastAsia="hr-HR"/>
        </w:rPr>
        <w:t>Kupnja vozila koja se koriste u svrhu upravljanja projektom</w:t>
      </w:r>
    </w:p>
    <w:p w14:paraId="28BE85F3"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3025786C"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Kazne, financijske globe i troškovi sudskog spora</w:t>
      </w:r>
    </w:p>
    <w:p w14:paraId="2889831B"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Operativni troškovi (</w:t>
      </w:r>
      <w:r w:rsidRPr="009903F3">
        <w:rPr>
          <w:rFonts w:ascii="Times New Roman" w:eastAsia="Times New Roman" w:hAnsi="Times New Roman" w:cs="Times New Roman"/>
          <w:color w:val="000000"/>
          <w:sz w:val="24"/>
          <w:szCs w:val="24"/>
          <w:lang w:eastAsia="hr-HR"/>
        </w:rPr>
        <w:t>izuzev troškova upravljanja projektom)</w:t>
      </w:r>
    </w:p>
    <w:p w14:paraId="3E775B4E"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Gubici zbog fluktuacija valutnih tečaja i provizija na valutni tečaj</w:t>
      </w:r>
    </w:p>
    <w:p w14:paraId="03F69788"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Plaćanja svih bonusa zaposlenima</w:t>
      </w:r>
    </w:p>
    <w:p w14:paraId="261FE7DE"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Bankovni troškovi za otvaranje i vođenje računa, naknade za financijske transfere i drugi troškovi u potpunosti financijske prirode</w:t>
      </w:r>
    </w:p>
    <w:p w14:paraId="310EF09D"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 odnosno svi koji su utvrđeni neprihvatljivima ili uvjetno prihvatljivima u skladu s Pravilnikom o prihvatljivosti izdataka (narodne novine, broj 143/2014)</w:t>
      </w:r>
    </w:p>
    <w:p w14:paraId="25317D05"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lastRenderedPageBreak/>
        <w:t>Izdatak povezan s ulaganjem u stambeni sektor</w:t>
      </w:r>
    </w:p>
    <w:p w14:paraId="7695F551"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Izdatak povezan s proizvodnjom, preradom i stavljanjem na tržište duhana i duhanskih proizvoda</w:t>
      </w:r>
    </w:p>
    <w:p w14:paraId="71F10FB8"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Izdatak povezan s ulaganjem u aerodromsku infrastrukturu</w:t>
      </w:r>
    </w:p>
    <w:p w14:paraId="47F50A3E"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Kupnja neizgrađenog zemljišta</w:t>
      </w:r>
    </w:p>
    <w:p w14:paraId="1E96C4DE"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Kupnja nekretnina (uključujući i pripadajuće izgrađeno zemljište)</w:t>
      </w:r>
    </w:p>
    <w:p w14:paraId="190B320C"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Ako je primjenjivo, troškovi Potpore lokalnom razvoju pod vodstvom zajednice</w:t>
      </w:r>
    </w:p>
    <w:p w14:paraId="5D8BAF14" w14:textId="77777777" w:rsidR="00457EBC" w:rsidRPr="009903F3" w:rsidRDefault="00457EBC" w:rsidP="00457EBC">
      <w:pPr>
        <w:pStyle w:val="BodyText"/>
        <w:numPr>
          <w:ilvl w:val="0"/>
          <w:numId w:val="6"/>
        </w:numPr>
        <w:kinsoku w:val="0"/>
        <w:overflowPunct w:val="0"/>
        <w:spacing w:after="120"/>
        <w:contextualSpacing/>
        <w:jc w:val="both"/>
        <w:rPr>
          <w:rFonts w:ascii="Times New Roman" w:hAnsi="Times New Roman" w:cs="Times New Roman"/>
          <w:spacing w:val="-1"/>
          <w:sz w:val="24"/>
          <w:szCs w:val="24"/>
        </w:rPr>
      </w:pPr>
      <w:r w:rsidRPr="009903F3">
        <w:rPr>
          <w:rFonts w:ascii="Times New Roman" w:hAnsi="Times New Roman" w:cs="Times New Roman"/>
          <w:spacing w:val="-1"/>
          <w:sz w:val="24"/>
          <w:szCs w:val="24"/>
        </w:rPr>
        <w:t xml:space="preserve">Izdatak koji ispunjava uvjete za potporu iz </w:t>
      </w:r>
      <w:proofErr w:type="spellStart"/>
      <w:r w:rsidRPr="009903F3">
        <w:rPr>
          <w:rFonts w:ascii="Times New Roman" w:hAnsi="Times New Roman" w:cs="Times New Roman"/>
          <w:spacing w:val="-1"/>
          <w:sz w:val="24"/>
          <w:szCs w:val="24"/>
        </w:rPr>
        <w:t>ESF</w:t>
      </w:r>
      <w:proofErr w:type="spellEnd"/>
    </w:p>
    <w:p w14:paraId="1AE383A4" w14:textId="77777777" w:rsidR="00457EBC" w:rsidRPr="009903F3" w:rsidRDefault="00457EBC" w:rsidP="0044120D">
      <w:pPr>
        <w:tabs>
          <w:tab w:val="left" w:pos="567"/>
        </w:tabs>
        <w:spacing w:after="0" w:line="240" w:lineRule="auto"/>
        <w:jc w:val="both"/>
        <w:outlineLvl w:val="0"/>
        <w:rPr>
          <w:rFonts w:ascii="Times New Roman" w:hAnsi="Times New Roman"/>
          <w:sz w:val="24"/>
          <w:szCs w:val="24"/>
        </w:rPr>
      </w:pPr>
    </w:p>
    <w:p w14:paraId="3B7A7CDF"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 xml:space="preserve"> </w:t>
      </w:r>
    </w:p>
    <w:p w14:paraId="6515380C"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 xml:space="preserve">Članak 7. – Mjere osiguravanja javnosti i vidljivosti  </w:t>
      </w:r>
    </w:p>
    <w:p w14:paraId="7A1417AC"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FDD103A" w14:textId="0A4BE52E"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7.1.</w:t>
      </w:r>
      <w:r w:rsidRPr="009903F3">
        <w:rPr>
          <w:rFonts w:ascii="Times New Roman" w:hAnsi="Times New Roman"/>
          <w:sz w:val="24"/>
          <w:szCs w:val="24"/>
        </w:rPr>
        <w:tab/>
        <w:t>Na zahtjev PT-a 1 i PT-a 2 Korisnik se obvezuje provoditi i/ili sudjelovati u oglašavanju i mjerama osiguravanja javnosti i vidljivosti, povrh onih koje su opisane u Prilogu I ovih Posebnih uvjeta</w:t>
      </w:r>
      <w:r w:rsidR="000A4A8C" w:rsidRPr="009903F3">
        <w:rPr>
          <w:rFonts w:ascii="Times New Roman" w:hAnsi="Times New Roman"/>
          <w:sz w:val="24"/>
          <w:szCs w:val="24"/>
        </w:rPr>
        <w:t xml:space="preserve"> Ugovora</w:t>
      </w:r>
      <w:r w:rsidRPr="009903F3">
        <w:rPr>
          <w:rFonts w:ascii="Times New Roman" w:hAnsi="Times New Roman"/>
          <w:sz w:val="24"/>
          <w:szCs w:val="24"/>
        </w:rPr>
        <w:t xml:space="preserve">. </w:t>
      </w:r>
    </w:p>
    <w:p w14:paraId="0EC46CE5"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0924F5B"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 xml:space="preserve">Članak 8. –  Upravljanje projektnom imovinom </w:t>
      </w:r>
    </w:p>
    <w:p w14:paraId="27FB1872"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2849EFD1" w:rsidR="00A64959" w:rsidRDefault="00A64959" w:rsidP="00AC3B01">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8.1.</w:t>
      </w:r>
      <w:r w:rsidRPr="009903F3">
        <w:rPr>
          <w:rFonts w:ascii="Times New Roman" w:hAnsi="Times New Roman"/>
          <w:sz w:val="24"/>
          <w:szCs w:val="24"/>
        </w:rPr>
        <w:tab/>
        <w:t>Imovina koja je stečena u Projektu mora se koristiti u skladu s opisom Projekta sadržanim u Prilogu I ovih Posebnih uvjeta</w:t>
      </w:r>
      <w:r w:rsidR="000A4A8C" w:rsidRPr="009903F3">
        <w:rPr>
          <w:rFonts w:ascii="Times New Roman" w:hAnsi="Times New Roman"/>
          <w:sz w:val="24"/>
          <w:szCs w:val="24"/>
        </w:rPr>
        <w:t xml:space="preserve"> Ugovora</w:t>
      </w:r>
      <w:r w:rsidRPr="009903F3">
        <w:rPr>
          <w:rFonts w:ascii="Times New Roman" w:hAnsi="Times New Roman"/>
          <w:sz w:val="24"/>
          <w:szCs w:val="24"/>
        </w:rPr>
        <w:t xml:space="preserve">. </w:t>
      </w:r>
      <w:r w:rsidR="00637782" w:rsidRPr="00637782">
        <w:rPr>
          <w:rFonts w:ascii="Times New Roman" w:hAnsi="Times New Roman"/>
          <w:sz w:val="24"/>
          <w:szCs w:val="24"/>
        </w:rPr>
        <w:t>Vlasništvo, kao i prava intelektualnog vlasništva povezana s rezultatima Projekta i/ili nad izvješćima i/ili nad drugim dokumentima koji se odnose na Projekt utvrđ</w:t>
      </w:r>
      <w:r w:rsidR="00AC3B01">
        <w:rPr>
          <w:rFonts w:ascii="Times New Roman" w:hAnsi="Times New Roman"/>
          <w:sz w:val="24"/>
          <w:szCs w:val="24"/>
        </w:rPr>
        <w:t>uju se, u skladu s propisanim sadržajem,</w:t>
      </w:r>
      <w:r w:rsidR="00637782" w:rsidRPr="00637782">
        <w:rPr>
          <w:rFonts w:ascii="Times New Roman" w:hAnsi="Times New Roman"/>
          <w:sz w:val="24"/>
          <w:szCs w:val="24"/>
        </w:rPr>
        <w:t xml:space="preserve"> pisanim </w:t>
      </w:r>
      <w:r w:rsidR="00AC3B01">
        <w:rPr>
          <w:rFonts w:ascii="Times New Roman" w:hAnsi="Times New Roman"/>
          <w:sz w:val="24"/>
          <w:szCs w:val="24"/>
        </w:rPr>
        <w:t>S</w:t>
      </w:r>
      <w:r w:rsidR="00637782" w:rsidRPr="00637782">
        <w:rPr>
          <w:rFonts w:ascii="Times New Roman" w:hAnsi="Times New Roman"/>
          <w:sz w:val="24"/>
          <w:szCs w:val="24"/>
        </w:rPr>
        <w:t xml:space="preserve">porazumom </w:t>
      </w:r>
      <w:r w:rsidR="00AC3B01">
        <w:rPr>
          <w:rFonts w:ascii="Times New Roman" w:hAnsi="Times New Roman"/>
          <w:sz w:val="24"/>
          <w:szCs w:val="24"/>
        </w:rPr>
        <w:t xml:space="preserve">o partnerstvu </w:t>
      </w:r>
      <w:r w:rsidR="00637782" w:rsidRPr="00637782">
        <w:rPr>
          <w:rFonts w:ascii="Times New Roman" w:hAnsi="Times New Roman"/>
          <w:sz w:val="24"/>
          <w:szCs w:val="24"/>
        </w:rPr>
        <w:t xml:space="preserve">&lt;navesti podatke o sporazumu &gt; koji se prilaže ovim Posebnim uvjetima </w:t>
      </w:r>
      <w:r w:rsidR="00AC3B01">
        <w:rPr>
          <w:rFonts w:ascii="Times New Roman" w:hAnsi="Times New Roman"/>
          <w:sz w:val="24"/>
          <w:szCs w:val="24"/>
        </w:rPr>
        <w:t>(P</w:t>
      </w:r>
      <w:r w:rsidR="00637782">
        <w:rPr>
          <w:rFonts w:ascii="Times New Roman" w:hAnsi="Times New Roman"/>
          <w:sz w:val="24"/>
          <w:szCs w:val="24"/>
        </w:rPr>
        <w:t>rilog VIII.)</w:t>
      </w:r>
      <w:r w:rsidR="00637782" w:rsidRPr="00637782">
        <w:rPr>
          <w:rFonts w:ascii="Times New Roman" w:hAnsi="Times New Roman"/>
          <w:sz w:val="24"/>
          <w:szCs w:val="24"/>
        </w:rPr>
        <w:t>.</w:t>
      </w:r>
    </w:p>
    <w:p w14:paraId="520C8FEA" w14:textId="77777777" w:rsidR="00AC3B01" w:rsidRPr="009903F3" w:rsidRDefault="00AC3B01" w:rsidP="009903F3">
      <w:pPr>
        <w:tabs>
          <w:tab w:val="left" w:pos="567"/>
        </w:tabs>
        <w:spacing w:after="0" w:line="240" w:lineRule="auto"/>
        <w:jc w:val="both"/>
        <w:outlineLvl w:val="0"/>
        <w:rPr>
          <w:rFonts w:ascii="Times New Roman" w:hAnsi="Times New Roman"/>
          <w:sz w:val="24"/>
          <w:szCs w:val="24"/>
        </w:rPr>
      </w:pPr>
    </w:p>
    <w:p w14:paraId="12EC7EAF" w14:textId="2284958A" w:rsidR="00A64959" w:rsidRPr="009903F3" w:rsidRDefault="00A64959" w:rsidP="0044120D">
      <w:pPr>
        <w:tabs>
          <w:tab w:val="left" w:pos="567"/>
        </w:tabs>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 xml:space="preserve"> </w:t>
      </w:r>
    </w:p>
    <w:p w14:paraId="0FDF6C46" w14:textId="7E25549C" w:rsidR="00A0467F" w:rsidRPr="009903F3" w:rsidRDefault="00A64959" w:rsidP="00235416">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 xml:space="preserve"> </w:t>
      </w:r>
      <w:r w:rsidR="00DE23DB" w:rsidRPr="009903F3">
        <w:rPr>
          <w:rFonts w:ascii="Times New Roman" w:hAnsi="Times New Roman"/>
          <w:sz w:val="24"/>
          <w:szCs w:val="24"/>
        </w:rPr>
        <w:t xml:space="preserve"> </w:t>
      </w:r>
    </w:p>
    <w:p w14:paraId="5864A55C"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828A858"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9. – Ostali uvjeti</w:t>
      </w:r>
    </w:p>
    <w:p w14:paraId="3ACEFD5A" w14:textId="77777777" w:rsidR="00A64959" w:rsidRPr="009903F3" w:rsidRDefault="00A64959" w:rsidP="0044120D">
      <w:pPr>
        <w:spacing w:after="0" w:line="240" w:lineRule="auto"/>
        <w:jc w:val="both"/>
        <w:rPr>
          <w:rFonts w:ascii="Times New Roman" w:hAnsi="Times New Roman"/>
          <w:sz w:val="24"/>
          <w:szCs w:val="24"/>
        </w:rPr>
      </w:pPr>
    </w:p>
    <w:p w14:paraId="54C81C2F" w14:textId="6C124EBB" w:rsidR="00A64959" w:rsidRPr="009903F3" w:rsidRDefault="00A64959" w:rsidP="00235416">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 xml:space="preserve">9.1. </w:t>
      </w:r>
      <w:r w:rsidRPr="009903F3">
        <w:rPr>
          <w:rFonts w:ascii="Times New Roman" w:hAnsi="Times New Roman"/>
          <w:sz w:val="24"/>
          <w:szCs w:val="24"/>
        </w:rPr>
        <w:tab/>
      </w:r>
      <w:r w:rsidR="002356D3" w:rsidRPr="009903F3">
        <w:rPr>
          <w:rFonts w:ascii="Times New Roman" w:hAnsi="Times New Roman"/>
          <w:sz w:val="24"/>
          <w:szCs w:val="24"/>
        </w:rPr>
        <w:t xml:space="preserve">Korisnik </w:t>
      </w:r>
      <w:r w:rsidR="002356D3" w:rsidRPr="009903F3">
        <w:rPr>
          <w:rFonts w:ascii="Times New Roman" w:hAnsi="Times New Roman"/>
          <w:iCs/>
          <w:sz w:val="24"/>
          <w:szCs w:val="24"/>
        </w:rPr>
        <w:t>mora dostaviti Revizorsko izvješće neovisnog ovlaštenog revizora uz Završno izvješće.</w:t>
      </w:r>
    </w:p>
    <w:p w14:paraId="1636FC41" w14:textId="19F1BECE" w:rsidR="00A64959" w:rsidRPr="009903F3" w:rsidRDefault="00A64959" w:rsidP="00C53A9E">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9.</w:t>
      </w:r>
      <w:r w:rsidR="00C53A9E" w:rsidRPr="009903F3">
        <w:rPr>
          <w:rFonts w:ascii="Times New Roman" w:hAnsi="Times New Roman"/>
          <w:sz w:val="24"/>
          <w:szCs w:val="24"/>
        </w:rPr>
        <w:t>2</w:t>
      </w:r>
      <w:r w:rsidRPr="009903F3">
        <w:rPr>
          <w:rFonts w:ascii="Times New Roman" w:hAnsi="Times New Roman"/>
          <w:sz w:val="24"/>
          <w:szCs w:val="24"/>
        </w:rPr>
        <w:t>.</w:t>
      </w:r>
      <w:r w:rsidRPr="009903F3">
        <w:rPr>
          <w:rFonts w:ascii="Times New Roman" w:hAnsi="Times New Roman"/>
          <w:sz w:val="24"/>
          <w:szCs w:val="24"/>
        </w:rPr>
        <w:tab/>
      </w:r>
      <w:r w:rsidR="002356D3" w:rsidRPr="009903F3">
        <w:rPr>
          <w:rFonts w:ascii="Times New Roman" w:hAnsi="Times New Roman"/>
          <w:sz w:val="24"/>
          <w:szCs w:val="24"/>
        </w:rPr>
        <w:t xml:space="preserve">Korisnik  mora dostavljati izvješća koja proizlaze iz pravila o državnim potporama. </w:t>
      </w:r>
    </w:p>
    <w:p w14:paraId="62B5E2A9" w14:textId="5F17A233" w:rsidR="00A8635E" w:rsidRPr="009903F3" w:rsidRDefault="00A8635E" w:rsidP="00C53A9E">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9.3.</w:t>
      </w:r>
      <w:r w:rsidRPr="009903F3">
        <w:rPr>
          <w:rFonts w:ascii="Times New Roman" w:hAnsi="Times New Roman"/>
          <w:sz w:val="24"/>
          <w:szCs w:val="24"/>
        </w:rPr>
        <w:tab/>
        <w:t xml:space="preserve">Korisnik mora dostavljati </w:t>
      </w:r>
      <w:r w:rsidR="00D95B78" w:rsidRPr="009903F3">
        <w:rPr>
          <w:rFonts w:ascii="Times New Roman" w:hAnsi="Times New Roman"/>
          <w:sz w:val="24"/>
          <w:szCs w:val="24"/>
        </w:rPr>
        <w:t>izvješća</w:t>
      </w:r>
      <w:r w:rsidRPr="009903F3">
        <w:rPr>
          <w:rFonts w:ascii="Times New Roman" w:hAnsi="Times New Roman"/>
          <w:sz w:val="24"/>
          <w:szCs w:val="24"/>
        </w:rPr>
        <w:t xml:space="preserve"> za </w:t>
      </w:r>
      <w:proofErr w:type="spellStart"/>
      <w:r w:rsidRPr="009903F3">
        <w:rPr>
          <w:rFonts w:ascii="Times New Roman" w:hAnsi="Times New Roman"/>
          <w:sz w:val="24"/>
          <w:szCs w:val="24"/>
        </w:rPr>
        <w:t>PT1</w:t>
      </w:r>
      <w:proofErr w:type="spellEnd"/>
      <w:r w:rsidRPr="009903F3">
        <w:rPr>
          <w:rFonts w:ascii="Times New Roman" w:hAnsi="Times New Roman"/>
          <w:sz w:val="24"/>
          <w:szCs w:val="24"/>
        </w:rPr>
        <w:t xml:space="preserve"> u skladu s točkom 5.3. Uputa za prijavitelje.</w:t>
      </w:r>
    </w:p>
    <w:p w14:paraId="094972FA" w14:textId="77777777" w:rsidR="00A0467F" w:rsidRPr="009903F3" w:rsidRDefault="00A0467F" w:rsidP="00C53A9E">
      <w:pPr>
        <w:spacing w:after="0" w:line="240" w:lineRule="auto"/>
        <w:ind w:left="567" w:hanging="567"/>
        <w:jc w:val="both"/>
        <w:rPr>
          <w:rFonts w:ascii="Times New Roman" w:hAnsi="Times New Roman"/>
          <w:b/>
          <w:sz w:val="24"/>
          <w:szCs w:val="24"/>
        </w:rPr>
      </w:pPr>
    </w:p>
    <w:p w14:paraId="5677FAB1"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10. – Adrese za kontakt</w:t>
      </w:r>
    </w:p>
    <w:p w14:paraId="53D9312A" w14:textId="77777777" w:rsidR="00A64959" w:rsidRPr="009903F3"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F2626A3" w:rsidR="00A64959" w:rsidRPr="009903F3" w:rsidRDefault="00A64959" w:rsidP="00BB7C24">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 xml:space="preserve">10.1. </w:t>
      </w:r>
      <w:r w:rsidR="00A8635E" w:rsidRPr="009903F3">
        <w:rPr>
          <w:rFonts w:ascii="Times New Roman" w:hAnsi="Times New Roman"/>
          <w:sz w:val="24"/>
          <w:szCs w:val="24"/>
        </w:rPr>
        <w:t xml:space="preserve">Sukladno Prilogu V Posebnih uvjeta, Korisnik i Posrednička tijela koriste sustav </w:t>
      </w:r>
      <w:proofErr w:type="spellStart"/>
      <w:r w:rsidR="00A8635E" w:rsidRPr="009903F3">
        <w:rPr>
          <w:rFonts w:ascii="Times New Roman" w:hAnsi="Times New Roman"/>
          <w:sz w:val="24"/>
          <w:szCs w:val="24"/>
        </w:rPr>
        <w:t>eFondovi</w:t>
      </w:r>
      <w:proofErr w:type="spellEnd"/>
      <w:r w:rsidR="00A8635E" w:rsidRPr="009903F3">
        <w:rPr>
          <w:rFonts w:ascii="Times New Roman" w:hAnsi="Times New Roman"/>
          <w:sz w:val="24"/>
          <w:szCs w:val="24"/>
        </w:rPr>
        <w:t xml:space="preserve"> tijekom pripreme, provedbe i definiranog roka izvještavanja nakon provedbe projekta. U svakom obliku komunikacije koji je povezan s ovim Ugovorom navodi se referentni broj Ugovora (kod projekta). Iznimno,</w:t>
      </w:r>
      <w:r w:rsidR="008C3555" w:rsidRPr="009903F3">
        <w:rPr>
          <w:rFonts w:ascii="Times New Roman" w:hAnsi="Times New Roman"/>
          <w:sz w:val="24"/>
          <w:szCs w:val="24"/>
        </w:rPr>
        <w:t xml:space="preserve"> u skladu s odredbama članka 2.2 Općih uvjeta ugovora</w:t>
      </w:r>
      <w:r w:rsidR="00A8635E" w:rsidRPr="009903F3">
        <w:rPr>
          <w:rFonts w:ascii="Times New Roman" w:hAnsi="Times New Roman"/>
          <w:sz w:val="24"/>
          <w:szCs w:val="24"/>
        </w:rPr>
        <w:t xml:space="preserve"> , komunikacija se može obavljati i na druge načine, na sljedeće adrese:</w:t>
      </w:r>
    </w:p>
    <w:p w14:paraId="08AA1E91" w14:textId="77777777" w:rsidR="00A64959" w:rsidRPr="009903F3" w:rsidRDefault="00A64959" w:rsidP="0044120D">
      <w:pPr>
        <w:spacing w:after="0" w:line="240" w:lineRule="auto"/>
        <w:jc w:val="both"/>
        <w:rPr>
          <w:rFonts w:ascii="Times New Roman" w:hAnsi="Times New Roman"/>
          <w:sz w:val="24"/>
          <w:szCs w:val="24"/>
        </w:rPr>
      </w:pPr>
    </w:p>
    <w:p w14:paraId="016343AC" w14:textId="77777777" w:rsidR="00A64959" w:rsidRPr="009903F3" w:rsidRDefault="00A64959" w:rsidP="0044120D">
      <w:pPr>
        <w:spacing w:after="0" w:line="240" w:lineRule="auto"/>
        <w:ind w:left="567"/>
        <w:jc w:val="both"/>
        <w:outlineLvl w:val="0"/>
        <w:rPr>
          <w:rFonts w:ascii="Times New Roman" w:hAnsi="Times New Roman"/>
          <w:sz w:val="24"/>
          <w:szCs w:val="24"/>
          <w:u w:val="single"/>
        </w:rPr>
      </w:pPr>
      <w:r w:rsidRPr="009903F3">
        <w:rPr>
          <w:rFonts w:ascii="Times New Roman" w:hAnsi="Times New Roman"/>
          <w:sz w:val="24"/>
          <w:szCs w:val="24"/>
          <w:u w:val="single"/>
        </w:rPr>
        <w:t xml:space="preserve">Za </w:t>
      </w:r>
      <w:proofErr w:type="spellStart"/>
      <w:r w:rsidRPr="009903F3">
        <w:rPr>
          <w:rFonts w:ascii="Times New Roman" w:hAnsi="Times New Roman"/>
          <w:sz w:val="24"/>
          <w:szCs w:val="24"/>
          <w:u w:val="single"/>
        </w:rPr>
        <w:t>PT1</w:t>
      </w:r>
      <w:proofErr w:type="spellEnd"/>
    </w:p>
    <w:p w14:paraId="34CD777C" w14:textId="77777777" w:rsidR="002356D3" w:rsidRPr="009903F3" w:rsidRDefault="002356D3" w:rsidP="002356D3">
      <w:pPr>
        <w:spacing w:after="0" w:line="240" w:lineRule="auto"/>
        <w:ind w:left="567"/>
        <w:jc w:val="both"/>
        <w:rPr>
          <w:rFonts w:ascii="Times New Roman" w:hAnsi="Times New Roman"/>
          <w:sz w:val="24"/>
          <w:szCs w:val="24"/>
        </w:rPr>
      </w:pPr>
      <w:r w:rsidRPr="009903F3">
        <w:rPr>
          <w:rFonts w:ascii="Times New Roman" w:hAnsi="Times New Roman"/>
          <w:sz w:val="24"/>
          <w:szCs w:val="24"/>
        </w:rPr>
        <w:t xml:space="preserve">Ministarstvo znanosti i obrazovanja, Donje Svetice 38, 10000 Zagreb, Hrvatska </w:t>
      </w:r>
    </w:p>
    <w:p w14:paraId="46B8D318" w14:textId="5E8882B3" w:rsidR="002356D3" w:rsidRPr="009903F3" w:rsidRDefault="002356D3" w:rsidP="002356D3">
      <w:pPr>
        <w:spacing w:after="0" w:line="240" w:lineRule="auto"/>
        <w:ind w:left="567"/>
        <w:jc w:val="both"/>
        <w:rPr>
          <w:rFonts w:ascii="Times New Roman" w:hAnsi="Times New Roman"/>
          <w:sz w:val="24"/>
          <w:szCs w:val="24"/>
        </w:rPr>
      </w:pPr>
      <w:r w:rsidRPr="009903F3">
        <w:rPr>
          <w:rFonts w:ascii="Times New Roman" w:hAnsi="Times New Roman"/>
          <w:sz w:val="24"/>
          <w:szCs w:val="24"/>
        </w:rPr>
        <w:t xml:space="preserve">Fax: +385 1 4594 349, </w:t>
      </w:r>
      <w:proofErr w:type="spellStart"/>
      <w:r w:rsidRPr="009903F3">
        <w:rPr>
          <w:rFonts w:ascii="Times New Roman" w:hAnsi="Times New Roman"/>
          <w:sz w:val="24"/>
          <w:szCs w:val="24"/>
        </w:rPr>
        <w:t>tel</w:t>
      </w:r>
      <w:proofErr w:type="spellEnd"/>
      <w:r w:rsidRPr="009903F3">
        <w:rPr>
          <w:rFonts w:ascii="Times New Roman" w:hAnsi="Times New Roman"/>
          <w:sz w:val="24"/>
          <w:szCs w:val="24"/>
        </w:rPr>
        <w:t>: +385 1</w:t>
      </w:r>
      <w:r w:rsidR="000721D4" w:rsidRPr="009903F3">
        <w:rPr>
          <w:rFonts w:ascii="Times New Roman" w:hAnsi="Times New Roman"/>
          <w:sz w:val="24"/>
          <w:szCs w:val="24"/>
        </w:rPr>
        <w:t xml:space="preserve"> </w:t>
      </w:r>
      <w:r w:rsidRPr="009903F3">
        <w:rPr>
          <w:rFonts w:ascii="Times New Roman" w:hAnsi="Times New Roman"/>
          <w:sz w:val="24"/>
          <w:szCs w:val="24"/>
        </w:rPr>
        <w:t>4569 000</w:t>
      </w:r>
    </w:p>
    <w:p w14:paraId="09886A8E" w14:textId="77777777" w:rsidR="00A64959" w:rsidRPr="009903F3" w:rsidRDefault="00A64959" w:rsidP="0044120D">
      <w:pPr>
        <w:spacing w:after="0" w:line="240" w:lineRule="auto"/>
        <w:ind w:left="567"/>
        <w:jc w:val="both"/>
        <w:rPr>
          <w:rFonts w:ascii="Times New Roman" w:hAnsi="Times New Roman"/>
          <w:b/>
          <w:sz w:val="24"/>
          <w:szCs w:val="24"/>
        </w:rPr>
      </w:pPr>
      <w:proofErr w:type="spellStart"/>
      <w:r w:rsidRPr="009903F3">
        <w:rPr>
          <w:rFonts w:ascii="Times New Roman" w:hAnsi="Times New Roman"/>
          <w:sz w:val="24"/>
          <w:szCs w:val="24"/>
        </w:rPr>
        <w:t>PT1</w:t>
      </w:r>
      <w:proofErr w:type="spellEnd"/>
      <w:r w:rsidRPr="009903F3">
        <w:rPr>
          <w:rFonts w:ascii="Times New Roman" w:hAnsi="Times New Roman"/>
          <w:sz w:val="24"/>
          <w:szCs w:val="24"/>
        </w:rPr>
        <w:t xml:space="preserve"> pisanim putem dostavlja Korisniku o podatke o osobi i adresi elektronske pošte za kontakt.  </w:t>
      </w:r>
    </w:p>
    <w:p w14:paraId="6CB1AEC6" w14:textId="77777777" w:rsidR="00DE23DB" w:rsidRPr="009903F3" w:rsidRDefault="00DE23DB" w:rsidP="0044120D">
      <w:pPr>
        <w:spacing w:after="0" w:line="240" w:lineRule="auto"/>
        <w:ind w:left="567"/>
        <w:jc w:val="both"/>
        <w:outlineLvl w:val="0"/>
        <w:rPr>
          <w:rFonts w:ascii="Times New Roman" w:hAnsi="Times New Roman"/>
          <w:sz w:val="24"/>
          <w:szCs w:val="24"/>
          <w:u w:val="single"/>
        </w:rPr>
      </w:pPr>
    </w:p>
    <w:p w14:paraId="516C7737" w14:textId="77777777" w:rsidR="00A64959" w:rsidRPr="009903F3" w:rsidRDefault="00A64959" w:rsidP="0044120D">
      <w:pPr>
        <w:spacing w:after="0" w:line="240" w:lineRule="auto"/>
        <w:ind w:left="567"/>
        <w:jc w:val="both"/>
        <w:outlineLvl w:val="0"/>
        <w:rPr>
          <w:rFonts w:ascii="Times New Roman" w:hAnsi="Times New Roman"/>
          <w:sz w:val="24"/>
          <w:szCs w:val="24"/>
          <w:u w:val="single"/>
        </w:rPr>
      </w:pPr>
      <w:r w:rsidRPr="009903F3">
        <w:rPr>
          <w:rFonts w:ascii="Times New Roman" w:hAnsi="Times New Roman"/>
          <w:sz w:val="24"/>
          <w:szCs w:val="24"/>
          <w:u w:val="single"/>
        </w:rPr>
        <w:t xml:space="preserve">Za </w:t>
      </w:r>
      <w:proofErr w:type="spellStart"/>
      <w:r w:rsidRPr="009903F3">
        <w:rPr>
          <w:rFonts w:ascii="Times New Roman" w:hAnsi="Times New Roman"/>
          <w:sz w:val="24"/>
          <w:szCs w:val="24"/>
          <w:u w:val="single"/>
        </w:rPr>
        <w:t>PT2</w:t>
      </w:r>
      <w:proofErr w:type="spellEnd"/>
    </w:p>
    <w:p w14:paraId="1A89261F" w14:textId="77777777" w:rsidR="002356D3" w:rsidRPr="009903F3" w:rsidRDefault="002356D3" w:rsidP="002356D3">
      <w:pPr>
        <w:spacing w:after="0" w:line="240" w:lineRule="auto"/>
        <w:ind w:left="567"/>
        <w:jc w:val="both"/>
        <w:outlineLvl w:val="0"/>
        <w:rPr>
          <w:rFonts w:ascii="Times New Roman" w:hAnsi="Times New Roman"/>
          <w:sz w:val="24"/>
          <w:szCs w:val="24"/>
        </w:rPr>
      </w:pPr>
      <w:r w:rsidRPr="009903F3">
        <w:rPr>
          <w:rFonts w:ascii="Times New Roman" w:hAnsi="Times New Roman"/>
          <w:sz w:val="24"/>
          <w:szCs w:val="24"/>
        </w:rPr>
        <w:t xml:space="preserve">Središnja agencija za financiranje i ugovaranje programa i projekata Europske unije, Ulica grada Vukovara 284 (objekt C), 10000 Zagreb, Hrvatska </w:t>
      </w:r>
    </w:p>
    <w:p w14:paraId="49266A92" w14:textId="1F42C2EE" w:rsidR="00A64959" w:rsidRPr="009903F3" w:rsidRDefault="002356D3" w:rsidP="002356D3">
      <w:pPr>
        <w:spacing w:after="0" w:line="240" w:lineRule="auto"/>
        <w:ind w:left="567"/>
        <w:jc w:val="both"/>
        <w:outlineLvl w:val="0"/>
        <w:rPr>
          <w:rFonts w:ascii="Times New Roman" w:hAnsi="Times New Roman"/>
          <w:sz w:val="24"/>
          <w:szCs w:val="24"/>
        </w:rPr>
      </w:pPr>
      <w:r w:rsidRPr="009903F3">
        <w:rPr>
          <w:rFonts w:ascii="Times New Roman" w:hAnsi="Times New Roman"/>
          <w:sz w:val="24"/>
          <w:szCs w:val="24"/>
        </w:rPr>
        <w:t xml:space="preserve">Fax: +385 1 6274 606, </w:t>
      </w:r>
      <w:proofErr w:type="spellStart"/>
      <w:r w:rsidRPr="009903F3">
        <w:rPr>
          <w:rFonts w:ascii="Times New Roman" w:hAnsi="Times New Roman"/>
          <w:sz w:val="24"/>
          <w:szCs w:val="24"/>
        </w:rPr>
        <w:t>tel</w:t>
      </w:r>
      <w:proofErr w:type="spellEnd"/>
      <w:r w:rsidRPr="009903F3">
        <w:rPr>
          <w:rFonts w:ascii="Times New Roman" w:hAnsi="Times New Roman"/>
          <w:sz w:val="24"/>
          <w:szCs w:val="24"/>
        </w:rPr>
        <w:t>: +385 1 6274 666</w:t>
      </w:r>
    </w:p>
    <w:p w14:paraId="01EFBD1A" w14:textId="77777777" w:rsidR="00A64959" w:rsidRPr="009903F3" w:rsidRDefault="00A64959" w:rsidP="0044120D">
      <w:pPr>
        <w:spacing w:after="0" w:line="240" w:lineRule="auto"/>
        <w:ind w:left="567"/>
        <w:jc w:val="both"/>
        <w:rPr>
          <w:rFonts w:ascii="Times New Roman" w:hAnsi="Times New Roman"/>
          <w:sz w:val="24"/>
          <w:szCs w:val="24"/>
        </w:rPr>
      </w:pPr>
      <w:proofErr w:type="spellStart"/>
      <w:r w:rsidRPr="009903F3">
        <w:rPr>
          <w:rFonts w:ascii="Times New Roman" w:hAnsi="Times New Roman"/>
          <w:sz w:val="24"/>
          <w:szCs w:val="24"/>
        </w:rPr>
        <w:t>PT2</w:t>
      </w:r>
      <w:proofErr w:type="spellEnd"/>
      <w:r w:rsidRPr="009903F3">
        <w:rPr>
          <w:rFonts w:ascii="Times New Roman" w:hAnsi="Times New Roman"/>
          <w:sz w:val="24"/>
          <w:szCs w:val="24"/>
        </w:rPr>
        <w:t xml:space="preserve"> pisanim putem dostavlja  Korisniku o podatke o osobi i adresi elektronske pošte za kontakt.  </w:t>
      </w:r>
    </w:p>
    <w:p w14:paraId="653639FA" w14:textId="77777777" w:rsidR="00A64959" w:rsidRPr="009903F3" w:rsidRDefault="00A64959" w:rsidP="0044120D">
      <w:pPr>
        <w:spacing w:after="0" w:line="240" w:lineRule="auto"/>
        <w:ind w:left="567"/>
        <w:jc w:val="both"/>
        <w:rPr>
          <w:rFonts w:ascii="Times New Roman" w:hAnsi="Times New Roman"/>
          <w:sz w:val="24"/>
          <w:szCs w:val="24"/>
        </w:rPr>
      </w:pPr>
    </w:p>
    <w:p w14:paraId="6C5B1A1D" w14:textId="77777777" w:rsidR="00A64959" w:rsidRPr="009903F3" w:rsidRDefault="00A64959" w:rsidP="0044120D">
      <w:pPr>
        <w:spacing w:after="0" w:line="240" w:lineRule="auto"/>
        <w:ind w:left="567"/>
        <w:jc w:val="both"/>
        <w:outlineLvl w:val="0"/>
        <w:rPr>
          <w:rFonts w:ascii="Times New Roman" w:hAnsi="Times New Roman"/>
          <w:sz w:val="24"/>
          <w:szCs w:val="24"/>
        </w:rPr>
      </w:pPr>
      <w:r w:rsidRPr="009903F3">
        <w:rPr>
          <w:rFonts w:ascii="Times New Roman" w:hAnsi="Times New Roman"/>
          <w:sz w:val="24"/>
          <w:szCs w:val="24"/>
          <w:u w:val="single"/>
        </w:rPr>
        <w:t>Za Korisnika</w:t>
      </w:r>
    </w:p>
    <w:p w14:paraId="7E05C9C3" w14:textId="77777777" w:rsidR="00A64959" w:rsidRPr="009903F3" w:rsidRDefault="00A64959" w:rsidP="0044120D">
      <w:pPr>
        <w:spacing w:after="0" w:line="240" w:lineRule="auto"/>
        <w:ind w:left="567"/>
        <w:jc w:val="both"/>
        <w:rPr>
          <w:rFonts w:ascii="Times New Roman" w:hAnsi="Times New Roman"/>
          <w:sz w:val="24"/>
          <w:szCs w:val="24"/>
        </w:rPr>
      </w:pPr>
      <w:r w:rsidRPr="009903F3">
        <w:rPr>
          <w:rFonts w:ascii="Times New Roman" w:hAnsi="Times New Roman"/>
          <w:sz w:val="24"/>
          <w:szCs w:val="24"/>
        </w:rPr>
        <w:t xml:space="preserve">&lt; </w:t>
      </w:r>
      <w:r w:rsidRPr="009903F3">
        <w:rPr>
          <w:rFonts w:ascii="Times New Roman" w:hAnsi="Times New Roman"/>
          <w:i/>
          <w:sz w:val="24"/>
          <w:szCs w:val="24"/>
        </w:rPr>
        <w:t xml:space="preserve">adresa, telefaks, adresa elektronske pošte Korisnika </w:t>
      </w:r>
      <w:r w:rsidRPr="009903F3">
        <w:rPr>
          <w:rFonts w:ascii="Times New Roman" w:hAnsi="Times New Roman"/>
          <w:sz w:val="24"/>
          <w:szCs w:val="24"/>
        </w:rPr>
        <w:t>&gt;</w:t>
      </w:r>
    </w:p>
    <w:p w14:paraId="3F1A282A" w14:textId="77777777" w:rsidR="00A64959" w:rsidRPr="009903F3" w:rsidRDefault="00A64959" w:rsidP="0044120D">
      <w:pPr>
        <w:spacing w:after="0" w:line="240" w:lineRule="auto"/>
        <w:ind w:left="567"/>
        <w:jc w:val="both"/>
        <w:rPr>
          <w:rFonts w:ascii="Times New Roman" w:hAnsi="Times New Roman"/>
          <w:sz w:val="24"/>
          <w:szCs w:val="24"/>
        </w:rPr>
      </w:pPr>
      <w:r w:rsidRPr="009903F3">
        <w:rPr>
          <w:rFonts w:ascii="Times New Roman" w:hAnsi="Times New Roman"/>
          <w:sz w:val="24"/>
          <w:szCs w:val="24"/>
        </w:rPr>
        <w:t xml:space="preserve">Korisnik pisanim putem dostavlja PT- u 1 i PT-u 2 podatke o osobi i adresi elektronske pošte za kontakt.  </w:t>
      </w:r>
    </w:p>
    <w:p w14:paraId="6983A381" w14:textId="77777777" w:rsidR="00A64959" w:rsidRPr="009903F3" w:rsidRDefault="00A64959" w:rsidP="0044120D">
      <w:pPr>
        <w:spacing w:after="0" w:line="240" w:lineRule="auto"/>
        <w:ind w:left="567"/>
        <w:jc w:val="both"/>
        <w:rPr>
          <w:rFonts w:ascii="Times New Roman" w:hAnsi="Times New Roman"/>
          <w:sz w:val="24"/>
          <w:szCs w:val="24"/>
        </w:rPr>
      </w:pPr>
    </w:p>
    <w:p w14:paraId="7A247A4E" w14:textId="3F512009" w:rsidR="00A64959" w:rsidRPr="009903F3" w:rsidRDefault="00A64959" w:rsidP="00A0467F">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 xml:space="preserve">10.2. PT 1, PT 2 i </w:t>
      </w:r>
      <w:r w:rsidR="005E53C2" w:rsidRPr="009903F3">
        <w:rPr>
          <w:rFonts w:ascii="Times New Roman" w:hAnsi="Times New Roman"/>
          <w:sz w:val="24"/>
          <w:szCs w:val="24"/>
        </w:rPr>
        <w:t>K</w:t>
      </w:r>
      <w:r w:rsidRPr="009903F3">
        <w:rPr>
          <w:rFonts w:ascii="Times New Roman" w:hAnsi="Times New Roman"/>
          <w:sz w:val="24"/>
          <w:szCs w:val="24"/>
        </w:rPr>
        <w:t>orisnik su obvezni bez odgađanja, a najkasnije u roku od 3 dana od dana nastanka promjene vezane uz kontakt podatke iz točke 10.1. ovog članka, obavijestiti putem</w:t>
      </w:r>
      <w:r w:rsidR="00A8635E" w:rsidRPr="009903F3">
        <w:rPr>
          <w:rFonts w:ascii="Times New Roman" w:hAnsi="Times New Roman"/>
          <w:sz w:val="24"/>
          <w:szCs w:val="24"/>
        </w:rPr>
        <w:t xml:space="preserve"> kroz za to predviđeno mjesto u sustavu e-Fondovi</w:t>
      </w:r>
      <w:r w:rsidRPr="009903F3">
        <w:rPr>
          <w:rFonts w:ascii="Times New Roman" w:hAnsi="Times New Roman"/>
          <w:sz w:val="24"/>
          <w:szCs w:val="24"/>
        </w:rPr>
        <w:t xml:space="preserve"> duge ugovorne </w:t>
      </w:r>
      <w:r w:rsidR="00105FA1" w:rsidRPr="009903F3">
        <w:rPr>
          <w:rFonts w:ascii="Times New Roman" w:hAnsi="Times New Roman"/>
          <w:sz w:val="24"/>
          <w:szCs w:val="24"/>
        </w:rPr>
        <w:t>S</w:t>
      </w:r>
      <w:r w:rsidRPr="009903F3">
        <w:rPr>
          <w:rFonts w:ascii="Times New Roman" w:hAnsi="Times New Roman"/>
          <w:sz w:val="24"/>
          <w:szCs w:val="24"/>
        </w:rPr>
        <w:t>trane o nastaloj promjeni.</w:t>
      </w:r>
      <w:r w:rsidR="00601335" w:rsidRPr="009903F3">
        <w:rPr>
          <w:rFonts w:ascii="Times New Roman" w:hAnsi="Times New Roman"/>
          <w:sz w:val="24"/>
          <w:szCs w:val="24"/>
        </w:rPr>
        <w:t xml:space="preserve"> Jedna ugovorna </w:t>
      </w:r>
      <w:r w:rsidR="00105FA1" w:rsidRPr="009903F3">
        <w:rPr>
          <w:rFonts w:ascii="Times New Roman" w:hAnsi="Times New Roman"/>
          <w:sz w:val="24"/>
          <w:szCs w:val="24"/>
        </w:rPr>
        <w:t>S</w:t>
      </w:r>
      <w:r w:rsidR="00601335" w:rsidRPr="009903F3">
        <w:rPr>
          <w:rFonts w:ascii="Times New Roman" w:hAnsi="Times New Roman"/>
          <w:sz w:val="24"/>
          <w:szCs w:val="24"/>
        </w:rPr>
        <w:t xml:space="preserve">trana ne odgovara za štetu koja drugoj ugovornoj </w:t>
      </w:r>
      <w:r w:rsidR="00A02470" w:rsidRPr="009903F3">
        <w:rPr>
          <w:rFonts w:ascii="Times New Roman" w:hAnsi="Times New Roman"/>
          <w:sz w:val="24"/>
          <w:szCs w:val="24"/>
        </w:rPr>
        <w:t>nastane</w:t>
      </w:r>
      <w:r w:rsidR="00601335" w:rsidRPr="009903F3">
        <w:rPr>
          <w:rFonts w:ascii="Times New Roman" w:hAnsi="Times New Roman"/>
          <w:sz w:val="24"/>
          <w:szCs w:val="24"/>
        </w:rPr>
        <w:t xml:space="preserve"> zbog neobavještavanja o promjenama vezanim uz kontakt podatke iz točke 10.1. ovog članka, ako se komunikacija putem raspoloživih kontakt podataka</w:t>
      </w:r>
      <w:r w:rsidR="00070EBC" w:rsidRPr="009903F3">
        <w:rPr>
          <w:rFonts w:ascii="Times New Roman" w:hAnsi="Times New Roman"/>
          <w:sz w:val="24"/>
          <w:szCs w:val="24"/>
        </w:rPr>
        <w:t xml:space="preserve"> nije mogla ostvariti</w:t>
      </w:r>
      <w:r w:rsidR="00601335" w:rsidRPr="009903F3">
        <w:rPr>
          <w:rFonts w:ascii="Times New Roman" w:hAnsi="Times New Roman"/>
          <w:sz w:val="24"/>
          <w:szCs w:val="24"/>
        </w:rPr>
        <w:t>.</w:t>
      </w:r>
    </w:p>
    <w:p w14:paraId="0A9A2B55" w14:textId="77777777" w:rsidR="005E3647" w:rsidRPr="009903F3" w:rsidRDefault="005E3647" w:rsidP="00A0467F">
      <w:pPr>
        <w:spacing w:after="0" w:line="240" w:lineRule="auto"/>
        <w:ind w:left="567" w:hanging="567"/>
        <w:jc w:val="both"/>
        <w:rPr>
          <w:rFonts w:ascii="Times New Roman" w:hAnsi="Times New Roman"/>
          <w:sz w:val="24"/>
          <w:szCs w:val="24"/>
        </w:rPr>
      </w:pPr>
    </w:p>
    <w:p w14:paraId="6474F87F" w14:textId="77777777" w:rsidR="00A64959" w:rsidRPr="009903F3" w:rsidRDefault="00A64959" w:rsidP="00235416">
      <w:pPr>
        <w:spacing w:after="0" w:line="240" w:lineRule="auto"/>
        <w:jc w:val="both"/>
        <w:rPr>
          <w:rFonts w:ascii="Times New Roman" w:hAnsi="Times New Roman"/>
          <w:sz w:val="24"/>
          <w:szCs w:val="24"/>
        </w:rPr>
      </w:pPr>
    </w:p>
    <w:p w14:paraId="766E0B35" w14:textId="7A76FC48" w:rsidR="00A64959" w:rsidRPr="009903F3" w:rsidRDefault="00A64959" w:rsidP="0044120D">
      <w:pPr>
        <w:keepNext/>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 xml:space="preserve">Članak 11. </w:t>
      </w:r>
      <w:r w:rsidR="004A7626" w:rsidRPr="009903F3">
        <w:rPr>
          <w:rFonts w:ascii="Times New Roman" w:hAnsi="Times New Roman"/>
          <w:b/>
          <w:sz w:val="24"/>
          <w:szCs w:val="24"/>
        </w:rPr>
        <w:t>–</w:t>
      </w:r>
      <w:r w:rsidRPr="009903F3">
        <w:rPr>
          <w:rFonts w:ascii="Times New Roman" w:hAnsi="Times New Roman"/>
          <w:b/>
          <w:sz w:val="24"/>
          <w:szCs w:val="24"/>
        </w:rPr>
        <w:t xml:space="preserve"> </w:t>
      </w:r>
      <w:r w:rsidR="004A7626" w:rsidRPr="009903F3">
        <w:rPr>
          <w:rFonts w:ascii="Times New Roman" w:hAnsi="Times New Roman"/>
          <w:b/>
          <w:sz w:val="24"/>
          <w:szCs w:val="24"/>
        </w:rPr>
        <w:t>Odredbe o mjerodavnom pravu i rješavanju sporova proizašlih iz ugovora</w:t>
      </w:r>
    </w:p>
    <w:p w14:paraId="41B94739" w14:textId="77777777" w:rsidR="00235416" w:rsidRPr="009903F3" w:rsidRDefault="00235416" w:rsidP="0044120D">
      <w:pPr>
        <w:keepNext/>
        <w:spacing w:after="0" w:line="240" w:lineRule="auto"/>
        <w:ind w:left="567" w:hanging="567"/>
        <w:jc w:val="both"/>
        <w:outlineLvl w:val="0"/>
        <w:rPr>
          <w:rFonts w:ascii="Times New Roman" w:hAnsi="Times New Roman"/>
          <w:b/>
          <w:sz w:val="24"/>
          <w:szCs w:val="24"/>
        </w:rPr>
      </w:pPr>
    </w:p>
    <w:p w14:paraId="1BDB1A86" w14:textId="521562AB" w:rsidR="004A7626" w:rsidRPr="009903F3" w:rsidRDefault="004A7626" w:rsidP="004A7626">
      <w:pPr>
        <w:keepNext/>
        <w:spacing w:after="0" w:line="240" w:lineRule="auto"/>
        <w:ind w:left="567" w:hanging="567"/>
        <w:jc w:val="both"/>
        <w:outlineLvl w:val="0"/>
        <w:rPr>
          <w:rFonts w:ascii="Times New Roman" w:hAnsi="Times New Roman"/>
          <w:sz w:val="24"/>
          <w:szCs w:val="24"/>
        </w:rPr>
      </w:pPr>
      <w:r w:rsidRPr="009903F3">
        <w:rPr>
          <w:rFonts w:ascii="Times New Roman" w:hAnsi="Times New Roman"/>
          <w:sz w:val="24"/>
          <w:szCs w:val="24"/>
        </w:rPr>
        <w:t>11.1. Na rješavanje mogućih međusobnih sporova proizašlih iz tumačenja ili primjene ugovora o dodjeli bespovratnih sredstava, primjenjuje se članak 28. Općih uvjeta.</w:t>
      </w:r>
    </w:p>
    <w:p w14:paraId="714EFDF7" w14:textId="77777777" w:rsidR="004A7626" w:rsidRPr="009903F3" w:rsidRDefault="004A7626" w:rsidP="0044120D">
      <w:pPr>
        <w:keepNext/>
        <w:spacing w:after="0" w:line="240" w:lineRule="auto"/>
        <w:ind w:left="567" w:hanging="567"/>
        <w:jc w:val="both"/>
        <w:outlineLvl w:val="0"/>
        <w:rPr>
          <w:rFonts w:ascii="Times New Roman" w:hAnsi="Times New Roman"/>
          <w:b/>
          <w:sz w:val="24"/>
          <w:szCs w:val="24"/>
        </w:rPr>
      </w:pPr>
    </w:p>
    <w:p w14:paraId="587670DD" w14:textId="08AA3184" w:rsidR="004A7626" w:rsidRPr="009903F3" w:rsidRDefault="004A7626" w:rsidP="0044120D">
      <w:pPr>
        <w:keepNext/>
        <w:spacing w:after="0" w:line="240" w:lineRule="auto"/>
        <w:ind w:left="567" w:hanging="567"/>
        <w:jc w:val="both"/>
        <w:outlineLvl w:val="0"/>
        <w:rPr>
          <w:rFonts w:ascii="Times New Roman" w:hAnsi="Times New Roman"/>
          <w:b/>
          <w:sz w:val="24"/>
          <w:szCs w:val="24"/>
        </w:rPr>
      </w:pPr>
      <w:r w:rsidRPr="009903F3">
        <w:rPr>
          <w:rFonts w:ascii="Times New Roman" w:hAnsi="Times New Roman"/>
          <w:b/>
          <w:sz w:val="24"/>
          <w:szCs w:val="24"/>
        </w:rPr>
        <w:t>Članak 12. Prilozi</w:t>
      </w:r>
    </w:p>
    <w:p w14:paraId="043A5133" w14:textId="77777777" w:rsidR="004A7626" w:rsidRPr="009903F3" w:rsidRDefault="004A7626" w:rsidP="0044120D">
      <w:pPr>
        <w:spacing w:after="0" w:line="240" w:lineRule="auto"/>
        <w:ind w:left="567" w:hanging="567"/>
        <w:jc w:val="both"/>
        <w:rPr>
          <w:rFonts w:ascii="Times New Roman" w:hAnsi="Times New Roman"/>
          <w:sz w:val="24"/>
          <w:szCs w:val="24"/>
        </w:rPr>
      </w:pPr>
    </w:p>
    <w:p w14:paraId="76B0DFBF" w14:textId="7BEE334A" w:rsidR="00A64959" w:rsidRPr="009903F3" w:rsidRDefault="00A64959" w:rsidP="0044120D">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1</w:t>
      </w:r>
      <w:r w:rsidR="004A7626" w:rsidRPr="009903F3">
        <w:rPr>
          <w:rFonts w:ascii="Times New Roman" w:hAnsi="Times New Roman"/>
          <w:sz w:val="24"/>
          <w:szCs w:val="24"/>
        </w:rPr>
        <w:t>2</w:t>
      </w:r>
      <w:r w:rsidRPr="009903F3">
        <w:rPr>
          <w:rFonts w:ascii="Times New Roman" w:hAnsi="Times New Roman"/>
          <w:sz w:val="24"/>
          <w:szCs w:val="24"/>
        </w:rPr>
        <w:t>.1</w:t>
      </w:r>
      <w:r w:rsidRPr="009903F3">
        <w:rPr>
          <w:rFonts w:ascii="Times New Roman" w:hAnsi="Times New Roman"/>
          <w:sz w:val="24"/>
          <w:szCs w:val="24"/>
        </w:rPr>
        <w:tab/>
        <w:t xml:space="preserve">Sljedeći  prilozi sastavni su dio Posebnih uvjeta Ugovora: </w:t>
      </w:r>
    </w:p>
    <w:p w14:paraId="7A848703" w14:textId="7C329910" w:rsidR="00A64959" w:rsidRPr="009903F3" w:rsidRDefault="00A64959" w:rsidP="00235416">
      <w:pPr>
        <w:spacing w:after="0" w:line="240" w:lineRule="auto"/>
        <w:ind w:left="567"/>
        <w:rPr>
          <w:rFonts w:ascii="Times New Roman" w:hAnsi="Times New Roman"/>
          <w:sz w:val="24"/>
          <w:szCs w:val="24"/>
        </w:rPr>
      </w:pPr>
      <w:r w:rsidRPr="009903F3">
        <w:rPr>
          <w:rFonts w:ascii="Times New Roman" w:hAnsi="Times New Roman"/>
          <w:sz w:val="24"/>
          <w:szCs w:val="24"/>
        </w:rPr>
        <w:t xml:space="preserve">Prilog I:  </w:t>
      </w:r>
      <w:r w:rsidR="00BA7EF3" w:rsidRPr="009903F3">
        <w:rPr>
          <w:rFonts w:ascii="Times New Roman" w:hAnsi="Times New Roman"/>
          <w:sz w:val="24"/>
          <w:szCs w:val="24"/>
        </w:rPr>
        <w:t>Prijavni obrazac</w:t>
      </w:r>
      <w:r w:rsidRPr="009903F3">
        <w:rPr>
          <w:rFonts w:ascii="Times New Roman" w:hAnsi="Times New Roman"/>
          <w:sz w:val="24"/>
          <w:szCs w:val="24"/>
        </w:rPr>
        <w:t xml:space="preserve"> </w:t>
      </w:r>
    </w:p>
    <w:p w14:paraId="601B271F" w14:textId="24960B48" w:rsidR="00D95B78" w:rsidRPr="009903F3" w:rsidRDefault="00D95B78" w:rsidP="00235416">
      <w:pPr>
        <w:spacing w:after="0" w:line="240" w:lineRule="auto"/>
        <w:ind w:left="567"/>
        <w:rPr>
          <w:rFonts w:ascii="Times New Roman" w:hAnsi="Times New Roman"/>
          <w:sz w:val="24"/>
          <w:szCs w:val="24"/>
        </w:rPr>
      </w:pPr>
      <w:r w:rsidRPr="009903F3">
        <w:rPr>
          <w:rFonts w:ascii="Times New Roman" w:hAnsi="Times New Roman"/>
          <w:sz w:val="24"/>
          <w:szCs w:val="24"/>
        </w:rPr>
        <w:t>Prilog II: Dodatni informacijski obrazac</w:t>
      </w:r>
    </w:p>
    <w:p w14:paraId="493C7C32" w14:textId="2B3B8F97" w:rsidR="00A64959" w:rsidRPr="009903F3" w:rsidRDefault="00A64959" w:rsidP="00235416">
      <w:pPr>
        <w:spacing w:after="0" w:line="240" w:lineRule="auto"/>
        <w:ind w:left="567"/>
        <w:rPr>
          <w:rFonts w:ascii="Times New Roman" w:hAnsi="Times New Roman"/>
          <w:sz w:val="24"/>
          <w:szCs w:val="24"/>
        </w:rPr>
      </w:pPr>
      <w:r w:rsidRPr="009903F3">
        <w:rPr>
          <w:rFonts w:ascii="Times New Roman" w:hAnsi="Times New Roman"/>
          <w:sz w:val="24"/>
          <w:szCs w:val="24"/>
        </w:rPr>
        <w:t xml:space="preserve">Prilog </w:t>
      </w:r>
      <w:r w:rsidR="00D95B78" w:rsidRPr="009903F3">
        <w:rPr>
          <w:rFonts w:ascii="Times New Roman" w:hAnsi="Times New Roman"/>
          <w:sz w:val="24"/>
          <w:szCs w:val="24"/>
        </w:rPr>
        <w:t>I</w:t>
      </w:r>
      <w:r w:rsidRPr="009903F3">
        <w:rPr>
          <w:rFonts w:ascii="Times New Roman" w:hAnsi="Times New Roman"/>
          <w:sz w:val="24"/>
          <w:szCs w:val="24"/>
        </w:rPr>
        <w:t>II: Opći uvjeti koji se primjenjuju na projekte financirane iz Fondova u            financijskom razdoblju 2014.–2020.</w:t>
      </w:r>
    </w:p>
    <w:p w14:paraId="20D55FB2" w14:textId="45D76451" w:rsidR="00A64959" w:rsidRPr="009903F3" w:rsidRDefault="00A64959" w:rsidP="00235416">
      <w:pPr>
        <w:spacing w:after="0" w:line="240" w:lineRule="auto"/>
        <w:ind w:left="567"/>
        <w:rPr>
          <w:rFonts w:ascii="Times New Roman" w:hAnsi="Times New Roman"/>
          <w:sz w:val="24"/>
          <w:szCs w:val="24"/>
        </w:rPr>
      </w:pPr>
      <w:r w:rsidRPr="009903F3">
        <w:rPr>
          <w:rFonts w:ascii="Times New Roman" w:hAnsi="Times New Roman"/>
          <w:sz w:val="24"/>
          <w:szCs w:val="24"/>
        </w:rPr>
        <w:t xml:space="preserve">Prilog </w:t>
      </w:r>
      <w:r w:rsidR="00D95B78" w:rsidRPr="009903F3">
        <w:rPr>
          <w:rFonts w:ascii="Times New Roman" w:hAnsi="Times New Roman"/>
          <w:sz w:val="24"/>
          <w:szCs w:val="24"/>
        </w:rPr>
        <w:t>IV</w:t>
      </w:r>
      <w:r w:rsidRPr="009903F3">
        <w:rPr>
          <w:rFonts w:ascii="Times New Roman" w:hAnsi="Times New Roman"/>
          <w:sz w:val="24"/>
          <w:szCs w:val="24"/>
        </w:rPr>
        <w:t xml:space="preserve">: Pravila koja se primjenjuju na osobe koje nisu obveznici Zakona o javnoj nabavi </w:t>
      </w:r>
    </w:p>
    <w:p w14:paraId="79FF4D0E" w14:textId="5BE1EF11" w:rsidR="004A7626" w:rsidRPr="009903F3" w:rsidRDefault="004A7626" w:rsidP="00235416">
      <w:pPr>
        <w:spacing w:after="0" w:line="240" w:lineRule="auto"/>
        <w:ind w:left="567"/>
        <w:rPr>
          <w:rFonts w:ascii="Times New Roman" w:hAnsi="Times New Roman"/>
          <w:sz w:val="24"/>
          <w:szCs w:val="24"/>
        </w:rPr>
      </w:pPr>
      <w:r w:rsidRPr="009903F3">
        <w:rPr>
          <w:rFonts w:ascii="Times New Roman" w:hAnsi="Times New Roman"/>
          <w:sz w:val="24"/>
          <w:szCs w:val="24"/>
        </w:rPr>
        <w:t xml:space="preserve">Prilog V: Uvjeti korištenja sustava </w:t>
      </w:r>
      <w:proofErr w:type="spellStart"/>
      <w:r w:rsidRPr="009903F3">
        <w:rPr>
          <w:rFonts w:ascii="Times New Roman" w:hAnsi="Times New Roman"/>
          <w:sz w:val="24"/>
          <w:szCs w:val="24"/>
        </w:rPr>
        <w:t>eFondovi</w:t>
      </w:r>
      <w:proofErr w:type="spellEnd"/>
      <w:r w:rsidRPr="009903F3">
        <w:rPr>
          <w:rFonts w:ascii="Times New Roman" w:hAnsi="Times New Roman"/>
          <w:sz w:val="24"/>
          <w:szCs w:val="24"/>
        </w:rPr>
        <w:t xml:space="preserve"> za korisnike bespovratnih sredstava</w:t>
      </w:r>
    </w:p>
    <w:p w14:paraId="2092BDAC" w14:textId="3B50A2BD" w:rsidR="00F721C9" w:rsidRPr="009903F3" w:rsidRDefault="00F721C9" w:rsidP="00235416">
      <w:pPr>
        <w:spacing w:after="0" w:line="240" w:lineRule="auto"/>
        <w:ind w:left="567"/>
        <w:rPr>
          <w:rFonts w:ascii="Times New Roman" w:hAnsi="Times New Roman"/>
          <w:sz w:val="24"/>
          <w:szCs w:val="24"/>
        </w:rPr>
      </w:pPr>
      <w:r w:rsidRPr="009903F3">
        <w:rPr>
          <w:rFonts w:ascii="Times New Roman" w:hAnsi="Times New Roman"/>
          <w:sz w:val="24"/>
          <w:szCs w:val="24"/>
        </w:rPr>
        <w:t>Prilog VI</w:t>
      </w:r>
      <w:r w:rsidR="006540F7" w:rsidRPr="009903F3">
        <w:rPr>
          <w:rFonts w:ascii="Times New Roman" w:hAnsi="Times New Roman"/>
          <w:sz w:val="24"/>
          <w:szCs w:val="24"/>
        </w:rPr>
        <w:t>:</w:t>
      </w:r>
      <w:r w:rsidRPr="009903F3">
        <w:rPr>
          <w:rFonts w:ascii="Times New Roman" w:hAnsi="Times New Roman"/>
          <w:sz w:val="24"/>
          <w:szCs w:val="24"/>
        </w:rPr>
        <w:t xml:space="preserve"> Pravila o primjeni financijskih korekcija</w:t>
      </w:r>
    </w:p>
    <w:p w14:paraId="14877A6E" w14:textId="1CD15F0F" w:rsidR="00A64959" w:rsidRDefault="00A64959" w:rsidP="00235416">
      <w:pPr>
        <w:spacing w:after="0" w:line="240" w:lineRule="auto"/>
        <w:ind w:left="567"/>
        <w:rPr>
          <w:rFonts w:ascii="Times New Roman" w:hAnsi="Times New Roman"/>
          <w:sz w:val="24"/>
          <w:szCs w:val="24"/>
        </w:rPr>
      </w:pPr>
      <w:r w:rsidRPr="009903F3">
        <w:rPr>
          <w:rFonts w:ascii="Times New Roman" w:hAnsi="Times New Roman"/>
          <w:sz w:val="24"/>
          <w:szCs w:val="24"/>
        </w:rPr>
        <w:t>Prilog VI</w:t>
      </w:r>
      <w:r w:rsidR="00F721C9" w:rsidRPr="009903F3">
        <w:rPr>
          <w:rFonts w:ascii="Times New Roman" w:hAnsi="Times New Roman"/>
          <w:sz w:val="24"/>
          <w:szCs w:val="24"/>
        </w:rPr>
        <w:t>I</w:t>
      </w:r>
      <w:r w:rsidRPr="009903F3">
        <w:rPr>
          <w:rFonts w:ascii="Times New Roman" w:hAnsi="Times New Roman"/>
          <w:sz w:val="24"/>
          <w:szCs w:val="24"/>
        </w:rPr>
        <w:t xml:space="preserve">: </w:t>
      </w:r>
      <w:r w:rsidR="002356D3" w:rsidRPr="009903F3">
        <w:rPr>
          <w:rFonts w:ascii="Times New Roman" w:hAnsi="Times New Roman"/>
          <w:sz w:val="24"/>
          <w:szCs w:val="24"/>
        </w:rPr>
        <w:t>U</w:t>
      </w:r>
      <w:r w:rsidR="00070EBC" w:rsidRPr="009903F3">
        <w:rPr>
          <w:rFonts w:ascii="Times New Roman" w:hAnsi="Times New Roman"/>
          <w:sz w:val="24"/>
          <w:szCs w:val="24"/>
        </w:rPr>
        <w:t xml:space="preserve">pute za prijavitelje </w:t>
      </w:r>
    </w:p>
    <w:p w14:paraId="01864D5F" w14:textId="1852EEFC" w:rsidR="00637782" w:rsidRPr="009903F3" w:rsidRDefault="00637782" w:rsidP="00235416">
      <w:pPr>
        <w:spacing w:after="0" w:line="240" w:lineRule="auto"/>
        <w:ind w:left="567"/>
        <w:rPr>
          <w:rFonts w:ascii="Times New Roman" w:hAnsi="Times New Roman"/>
          <w:sz w:val="24"/>
          <w:szCs w:val="24"/>
        </w:rPr>
      </w:pPr>
      <w:r>
        <w:rPr>
          <w:rFonts w:ascii="Times New Roman" w:hAnsi="Times New Roman"/>
          <w:sz w:val="24"/>
          <w:szCs w:val="24"/>
        </w:rPr>
        <w:t>Prilog VIII: Sporazum/i o partnerstvu</w:t>
      </w:r>
    </w:p>
    <w:p w14:paraId="29117C7A" w14:textId="08FFB3A7" w:rsidR="00A64959" w:rsidRPr="009903F3" w:rsidRDefault="00A64959" w:rsidP="00A0467F">
      <w:pPr>
        <w:spacing w:after="0" w:line="240" w:lineRule="auto"/>
        <w:ind w:left="567" w:hanging="567"/>
        <w:jc w:val="both"/>
        <w:rPr>
          <w:rFonts w:ascii="Times New Roman" w:hAnsi="Times New Roman"/>
          <w:sz w:val="24"/>
          <w:szCs w:val="24"/>
        </w:rPr>
      </w:pPr>
      <w:r w:rsidRPr="009903F3">
        <w:rPr>
          <w:rFonts w:ascii="Times New Roman" w:hAnsi="Times New Roman"/>
          <w:sz w:val="24"/>
          <w:szCs w:val="24"/>
        </w:rPr>
        <w:t>1</w:t>
      </w:r>
      <w:r w:rsidR="002A60B6" w:rsidRPr="009903F3">
        <w:rPr>
          <w:rFonts w:ascii="Times New Roman" w:hAnsi="Times New Roman"/>
          <w:sz w:val="24"/>
          <w:szCs w:val="24"/>
        </w:rPr>
        <w:t>2</w:t>
      </w:r>
      <w:r w:rsidRPr="009903F3">
        <w:rPr>
          <w:rFonts w:ascii="Times New Roman" w:hAnsi="Times New Roman"/>
          <w:sz w:val="24"/>
          <w:szCs w:val="24"/>
        </w:rPr>
        <w:t>.2. U slučaju neslaganja odredbi ovih Posebnih uvjeta i nekog od Priloga koji je sastavni dio Posebnih uvjeta, odredbe Posebnih uvjeta imaju prvenstvo. U slučaju neslaganja odredbi Priloga II</w:t>
      </w:r>
      <w:r w:rsidR="005E53C2" w:rsidRPr="009903F3">
        <w:rPr>
          <w:rFonts w:ascii="Times New Roman" w:hAnsi="Times New Roman"/>
          <w:sz w:val="24"/>
          <w:szCs w:val="24"/>
        </w:rPr>
        <w:t>I</w:t>
      </w:r>
      <w:r w:rsidRPr="009903F3">
        <w:rPr>
          <w:rFonts w:ascii="Times New Roman" w:hAnsi="Times New Roman"/>
          <w:sz w:val="24"/>
          <w:szCs w:val="24"/>
        </w:rPr>
        <w:t xml:space="preserve"> Posebnih uvjeta i ostalih Priloga Posebnih uvjeta, odredbe Priloga </w:t>
      </w:r>
      <w:r w:rsidR="005E53C2" w:rsidRPr="009903F3">
        <w:rPr>
          <w:rFonts w:ascii="Times New Roman" w:hAnsi="Times New Roman"/>
          <w:sz w:val="24"/>
          <w:szCs w:val="24"/>
        </w:rPr>
        <w:t>I</w:t>
      </w:r>
      <w:r w:rsidRPr="009903F3">
        <w:rPr>
          <w:rFonts w:ascii="Times New Roman" w:hAnsi="Times New Roman"/>
          <w:sz w:val="24"/>
          <w:szCs w:val="24"/>
        </w:rPr>
        <w:t xml:space="preserve">II imaju prvenstvo.  </w:t>
      </w:r>
    </w:p>
    <w:p w14:paraId="57334694" w14:textId="77777777" w:rsidR="009903F3" w:rsidRPr="009903F3" w:rsidRDefault="009903F3" w:rsidP="0044120D">
      <w:pPr>
        <w:spacing w:after="0" w:line="240" w:lineRule="auto"/>
        <w:jc w:val="both"/>
        <w:rPr>
          <w:rFonts w:ascii="Times New Roman" w:hAnsi="Times New Roman"/>
          <w:sz w:val="24"/>
          <w:szCs w:val="24"/>
        </w:rPr>
      </w:pPr>
    </w:p>
    <w:p w14:paraId="3AA16706" w14:textId="79AD5BF5" w:rsidR="00A64959" w:rsidRPr="009903F3" w:rsidRDefault="00A64959" w:rsidP="0044120D">
      <w:pPr>
        <w:spacing w:after="0" w:line="240" w:lineRule="auto"/>
        <w:jc w:val="both"/>
        <w:rPr>
          <w:rFonts w:ascii="Times New Roman" w:hAnsi="Times New Roman"/>
          <w:b/>
          <w:sz w:val="24"/>
          <w:szCs w:val="24"/>
        </w:rPr>
      </w:pPr>
      <w:r w:rsidRPr="009903F3">
        <w:rPr>
          <w:rFonts w:ascii="Times New Roman" w:hAnsi="Times New Roman"/>
          <w:b/>
          <w:sz w:val="24"/>
          <w:szCs w:val="24"/>
        </w:rPr>
        <w:t>Članak 1</w:t>
      </w:r>
      <w:r w:rsidR="002A60B6" w:rsidRPr="009903F3">
        <w:rPr>
          <w:rFonts w:ascii="Times New Roman" w:hAnsi="Times New Roman"/>
          <w:b/>
          <w:sz w:val="24"/>
          <w:szCs w:val="24"/>
        </w:rPr>
        <w:t>3</w:t>
      </w:r>
      <w:r w:rsidRPr="009903F3">
        <w:rPr>
          <w:rFonts w:ascii="Times New Roman" w:hAnsi="Times New Roman"/>
          <w:b/>
          <w:sz w:val="24"/>
          <w:szCs w:val="24"/>
        </w:rPr>
        <w:t>.</w:t>
      </w:r>
    </w:p>
    <w:p w14:paraId="5CFA197C" w14:textId="3CEB4CF1" w:rsidR="00A64959" w:rsidRDefault="00A64959" w:rsidP="0044120D">
      <w:pPr>
        <w:spacing w:after="0" w:line="240" w:lineRule="auto"/>
        <w:jc w:val="both"/>
        <w:rPr>
          <w:rFonts w:ascii="Times New Roman" w:hAnsi="Times New Roman"/>
          <w:sz w:val="24"/>
          <w:szCs w:val="24"/>
        </w:rPr>
      </w:pPr>
      <w:r w:rsidRPr="009903F3">
        <w:rPr>
          <w:rFonts w:ascii="Times New Roman" w:hAnsi="Times New Roman"/>
          <w:sz w:val="24"/>
          <w:szCs w:val="24"/>
        </w:rPr>
        <w:t xml:space="preserve">Sastavljeno na hrvatskom jeziku u </w:t>
      </w:r>
      <w:r w:rsidR="002356D3" w:rsidRPr="009903F3">
        <w:rPr>
          <w:rFonts w:ascii="Times New Roman" w:hAnsi="Times New Roman"/>
          <w:i/>
          <w:sz w:val="24"/>
          <w:szCs w:val="24"/>
        </w:rPr>
        <w:t>3</w:t>
      </w:r>
      <w:r w:rsidRPr="009903F3">
        <w:rPr>
          <w:rFonts w:ascii="Times New Roman" w:hAnsi="Times New Roman"/>
          <w:sz w:val="24"/>
          <w:szCs w:val="24"/>
        </w:rPr>
        <w:t xml:space="preserve"> istovjetna primjerka, </w:t>
      </w:r>
      <w:r w:rsidR="004B40D7" w:rsidRPr="009903F3">
        <w:rPr>
          <w:rFonts w:ascii="Times New Roman" w:hAnsi="Times New Roman"/>
          <w:sz w:val="24"/>
          <w:szCs w:val="24"/>
        </w:rPr>
        <w:t xml:space="preserve">svaki sa snagom izvornika, </w:t>
      </w:r>
      <w:r w:rsidRPr="009903F3">
        <w:rPr>
          <w:rFonts w:ascii="Times New Roman" w:hAnsi="Times New Roman"/>
          <w:sz w:val="24"/>
          <w:szCs w:val="24"/>
        </w:rPr>
        <w:t xml:space="preserve">od kojih </w:t>
      </w:r>
      <w:bookmarkStart w:id="0" w:name="_GoBack"/>
      <w:r w:rsidRPr="009903F3">
        <w:rPr>
          <w:rFonts w:ascii="Times New Roman" w:hAnsi="Times New Roman"/>
          <w:sz w:val="24"/>
          <w:szCs w:val="24"/>
        </w:rPr>
        <w:t xml:space="preserve">svaka Strana zadržava po jedan </w:t>
      </w:r>
      <w:r w:rsidR="004B40D7" w:rsidRPr="009903F3">
        <w:rPr>
          <w:rFonts w:ascii="Times New Roman" w:hAnsi="Times New Roman"/>
          <w:sz w:val="24"/>
          <w:szCs w:val="24"/>
        </w:rPr>
        <w:t>primjerak</w:t>
      </w:r>
      <w:r w:rsidRPr="009903F3">
        <w:rPr>
          <w:rFonts w:ascii="Times New Roman" w:hAnsi="Times New Roman"/>
          <w:sz w:val="24"/>
          <w:szCs w:val="24"/>
        </w:rPr>
        <w:t>.</w:t>
      </w:r>
    </w:p>
    <w:p w14:paraId="652779B9" w14:textId="77777777" w:rsidR="009903F3" w:rsidRDefault="009903F3" w:rsidP="0044120D">
      <w:pPr>
        <w:spacing w:after="0" w:line="240" w:lineRule="auto"/>
        <w:jc w:val="both"/>
        <w:rPr>
          <w:rFonts w:ascii="Times New Roman" w:hAnsi="Times New Roman"/>
          <w:sz w:val="24"/>
          <w:szCs w:val="24"/>
        </w:rPr>
      </w:pPr>
    </w:p>
    <w:p w14:paraId="3675A5DE" w14:textId="77777777" w:rsidR="009903F3" w:rsidRDefault="009903F3" w:rsidP="0044120D">
      <w:pPr>
        <w:spacing w:after="0" w:line="240" w:lineRule="auto"/>
        <w:jc w:val="both"/>
        <w:rPr>
          <w:rFonts w:ascii="Times New Roman" w:hAnsi="Times New Roman"/>
          <w:sz w:val="24"/>
          <w:szCs w:val="24"/>
        </w:rPr>
      </w:pPr>
    </w:p>
    <w:bookmarkEnd w:id="0"/>
    <w:p w14:paraId="5A69128F" w14:textId="77777777" w:rsidR="009903F3" w:rsidRPr="009903F3" w:rsidRDefault="009903F3" w:rsidP="0044120D">
      <w:pPr>
        <w:spacing w:after="0" w:line="240" w:lineRule="auto"/>
        <w:jc w:val="both"/>
        <w:rPr>
          <w:rFonts w:ascii="Times New Roman" w:hAnsi="Times New Roman"/>
          <w:sz w:val="24"/>
          <w:szCs w:val="24"/>
        </w:rPr>
      </w:pPr>
    </w:p>
    <w:p w14:paraId="01B08EC1" w14:textId="77777777" w:rsidR="00A64959" w:rsidRPr="009903F3" w:rsidRDefault="00A64959" w:rsidP="0044120D">
      <w:pPr>
        <w:spacing w:after="0" w:line="240" w:lineRule="auto"/>
        <w:jc w:val="both"/>
        <w:rPr>
          <w:rFonts w:ascii="Times New Roman" w:hAnsi="Times New Roman"/>
          <w:sz w:val="24"/>
          <w:szCs w:val="24"/>
        </w:rPr>
      </w:pPr>
    </w:p>
    <w:tbl>
      <w:tblPr>
        <w:tblW w:w="9072" w:type="dxa"/>
        <w:jc w:val="center"/>
        <w:tblLayout w:type="fixed"/>
        <w:tblLook w:val="0000" w:firstRow="0" w:lastRow="0" w:firstColumn="0" w:lastColumn="0" w:noHBand="0" w:noVBand="0"/>
      </w:tblPr>
      <w:tblGrid>
        <w:gridCol w:w="1506"/>
        <w:gridCol w:w="3172"/>
        <w:gridCol w:w="2504"/>
        <w:gridCol w:w="1890"/>
      </w:tblGrid>
      <w:tr w:rsidR="00A64959" w:rsidRPr="00637782" w14:paraId="7BFBAB82" w14:textId="77777777" w:rsidTr="009903F3">
        <w:trPr>
          <w:trHeight w:val="457"/>
          <w:jc w:val="center"/>
        </w:trPr>
        <w:tc>
          <w:tcPr>
            <w:tcW w:w="4678" w:type="dxa"/>
            <w:gridSpan w:val="2"/>
          </w:tcPr>
          <w:p w14:paraId="6D613A62" w14:textId="13D0353B" w:rsidR="00A64959" w:rsidRPr="009903F3" w:rsidRDefault="00A64959" w:rsidP="0044120D">
            <w:pPr>
              <w:spacing w:after="0" w:line="240" w:lineRule="auto"/>
              <w:rPr>
                <w:rFonts w:ascii="Times New Roman" w:hAnsi="Times New Roman"/>
                <w:b/>
                <w:sz w:val="24"/>
                <w:szCs w:val="24"/>
              </w:rPr>
            </w:pPr>
            <w:r w:rsidRPr="009903F3">
              <w:rPr>
                <w:rFonts w:ascii="Times New Roman" w:hAnsi="Times New Roman"/>
                <w:b/>
                <w:sz w:val="24"/>
                <w:szCs w:val="24"/>
              </w:rPr>
              <w:t>Za Posredničko tijelo razine 1</w:t>
            </w:r>
          </w:p>
        </w:tc>
        <w:tc>
          <w:tcPr>
            <w:tcW w:w="4394" w:type="dxa"/>
            <w:gridSpan w:val="2"/>
          </w:tcPr>
          <w:p w14:paraId="4609AB41" w14:textId="77777777" w:rsidR="00A64959" w:rsidRPr="009903F3" w:rsidRDefault="00A64959" w:rsidP="0044120D">
            <w:pPr>
              <w:spacing w:after="0" w:line="240" w:lineRule="auto"/>
              <w:rPr>
                <w:rFonts w:ascii="Times New Roman" w:hAnsi="Times New Roman"/>
                <w:b/>
                <w:sz w:val="24"/>
                <w:szCs w:val="24"/>
              </w:rPr>
            </w:pPr>
            <w:r w:rsidRPr="009903F3">
              <w:rPr>
                <w:rFonts w:ascii="Times New Roman" w:hAnsi="Times New Roman"/>
                <w:b/>
                <w:sz w:val="24"/>
                <w:szCs w:val="24"/>
              </w:rPr>
              <w:t>Za Posredničko tijelo razine 2</w:t>
            </w:r>
          </w:p>
        </w:tc>
      </w:tr>
      <w:tr w:rsidR="00A64959" w:rsidRPr="00637782" w14:paraId="2D9FF43D" w14:textId="77777777" w:rsidTr="009903F3">
        <w:trPr>
          <w:trHeight w:val="434"/>
          <w:jc w:val="center"/>
        </w:trPr>
        <w:tc>
          <w:tcPr>
            <w:tcW w:w="1506" w:type="dxa"/>
          </w:tcPr>
          <w:p w14:paraId="00EFA4B3"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Ime</w:t>
            </w:r>
          </w:p>
        </w:tc>
        <w:tc>
          <w:tcPr>
            <w:tcW w:w="3172" w:type="dxa"/>
          </w:tcPr>
          <w:p w14:paraId="048E0DEB"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58B8AE43"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Ime</w:t>
            </w:r>
          </w:p>
        </w:tc>
        <w:tc>
          <w:tcPr>
            <w:tcW w:w="1890" w:type="dxa"/>
          </w:tcPr>
          <w:p w14:paraId="40022706" w14:textId="77777777" w:rsidR="00A64959" w:rsidRPr="009903F3" w:rsidRDefault="00A64959" w:rsidP="0044120D">
            <w:pPr>
              <w:spacing w:after="0" w:line="240" w:lineRule="auto"/>
              <w:rPr>
                <w:rFonts w:ascii="Times New Roman" w:hAnsi="Times New Roman"/>
                <w:sz w:val="24"/>
                <w:szCs w:val="24"/>
              </w:rPr>
            </w:pPr>
          </w:p>
        </w:tc>
      </w:tr>
      <w:tr w:rsidR="00A64959" w:rsidRPr="00637782" w14:paraId="56885A20" w14:textId="77777777" w:rsidTr="009903F3">
        <w:trPr>
          <w:trHeight w:val="457"/>
          <w:jc w:val="center"/>
        </w:trPr>
        <w:tc>
          <w:tcPr>
            <w:tcW w:w="1506" w:type="dxa"/>
          </w:tcPr>
          <w:p w14:paraId="6C698094"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Funkcija</w:t>
            </w:r>
          </w:p>
        </w:tc>
        <w:tc>
          <w:tcPr>
            <w:tcW w:w="3172" w:type="dxa"/>
          </w:tcPr>
          <w:p w14:paraId="2676A55A"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30B243A4"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Funkcija</w:t>
            </w:r>
          </w:p>
        </w:tc>
        <w:tc>
          <w:tcPr>
            <w:tcW w:w="1890" w:type="dxa"/>
          </w:tcPr>
          <w:p w14:paraId="41D9AB2B" w14:textId="77777777" w:rsidR="00A64959" w:rsidRPr="009903F3" w:rsidRDefault="00A64959" w:rsidP="0044120D">
            <w:pPr>
              <w:spacing w:after="0" w:line="240" w:lineRule="auto"/>
              <w:rPr>
                <w:rFonts w:ascii="Times New Roman" w:hAnsi="Times New Roman"/>
                <w:sz w:val="24"/>
                <w:szCs w:val="24"/>
              </w:rPr>
            </w:pPr>
          </w:p>
        </w:tc>
      </w:tr>
      <w:tr w:rsidR="00A64959" w:rsidRPr="00637782" w14:paraId="52F432A4" w14:textId="77777777" w:rsidTr="009903F3">
        <w:trPr>
          <w:trHeight w:val="434"/>
          <w:jc w:val="center"/>
        </w:trPr>
        <w:tc>
          <w:tcPr>
            <w:tcW w:w="1506" w:type="dxa"/>
          </w:tcPr>
          <w:p w14:paraId="47F65EBB"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 xml:space="preserve">Potpis </w:t>
            </w:r>
          </w:p>
        </w:tc>
        <w:tc>
          <w:tcPr>
            <w:tcW w:w="3172" w:type="dxa"/>
          </w:tcPr>
          <w:p w14:paraId="519D155B"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124933B4"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 xml:space="preserve">Potpis </w:t>
            </w:r>
          </w:p>
        </w:tc>
        <w:tc>
          <w:tcPr>
            <w:tcW w:w="1890" w:type="dxa"/>
          </w:tcPr>
          <w:p w14:paraId="1D514C98" w14:textId="77777777" w:rsidR="00A64959" w:rsidRPr="009903F3" w:rsidRDefault="00A64959" w:rsidP="0044120D">
            <w:pPr>
              <w:spacing w:after="0" w:line="240" w:lineRule="auto"/>
              <w:rPr>
                <w:rFonts w:ascii="Times New Roman" w:hAnsi="Times New Roman"/>
                <w:sz w:val="24"/>
                <w:szCs w:val="24"/>
              </w:rPr>
            </w:pPr>
          </w:p>
        </w:tc>
      </w:tr>
      <w:tr w:rsidR="00A64959" w:rsidRPr="00637782" w14:paraId="42C8D72D" w14:textId="77777777" w:rsidTr="009903F3">
        <w:trPr>
          <w:trHeight w:val="629"/>
          <w:jc w:val="center"/>
        </w:trPr>
        <w:tc>
          <w:tcPr>
            <w:tcW w:w="1506" w:type="dxa"/>
          </w:tcPr>
          <w:p w14:paraId="019398DD" w14:textId="7E3FCBB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Datum</w:t>
            </w:r>
          </w:p>
        </w:tc>
        <w:tc>
          <w:tcPr>
            <w:tcW w:w="3172" w:type="dxa"/>
          </w:tcPr>
          <w:p w14:paraId="165C0066"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6287FFAD"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Datum</w:t>
            </w:r>
          </w:p>
        </w:tc>
        <w:tc>
          <w:tcPr>
            <w:tcW w:w="1890" w:type="dxa"/>
          </w:tcPr>
          <w:p w14:paraId="16688527" w14:textId="77777777" w:rsidR="00A64959" w:rsidRPr="009903F3" w:rsidRDefault="00A64959" w:rsidP="0044120D">
            <w:pPr>
              <w:spacing w:after="0" w:line="240" w:lineRule="auto"/>
              <w:rPr>
                <w:rFonts w:ascii="Times New Roman" w:hAnsi="Times New Roman"/>
                <w:sz w:val="24"/>
                <w:szCs w:val="24"/>
              </w:rPr>
            </w:pPr>
          </w:p>
        </w:tc>
      </w:tr>
      <w:tr w:rsidR="009903F3" w:rsidRPr="00637782" w14:paraId="4DF80D23" w14:textId="77777777" w:rsidTr="009903F3">
        <w:trPr>
          <w:trHeight w:val="629"/>
          <w:jc w:val="center"/>
        </w:trPr>
        <w:tc>
          <w:tcPr>
            <w:tcW w:w="1506" w:type="dxa"/>
            <w:shd w:val="clear" w:color="auto" w:fill="auto"/>
          </w:tcPr>
          <w:p w14:paraId="7E9A5CB3" w14:textId="77777777" w:rsidR="009903F3" w:rsidRPr="009903F3" w:rsidRDefault="009903F3" w:rsidP="0044120D">
            <w:pPr>
              <w:spacing w:after="0" w:line="240" w:lineRule="auto"/>
              <w:rPr>
                <w:rFonts w:ascii="Times New Roman" w:hAnsi="Times New Roman"/>
                <w:sz w:val="24"/>
                <w:szCs w:val="24"/>
              </w:rPr>
            </w:pPr>
          </w:p>
        </w:tc>
        <w:tc>
          <w:tcPr>
            <w:tcW w:w="3172" w:type="dxa"/>
            <w:shd w:val="clear" w:color="auto" w:fill="auto"/>
          </w:tcPr>
          <w:p w14:paraId="02E3345E" w14:textId="77777777" w:rsidR="009903F3" w:rsidRPr="009903F3" w:rsidRDefault="009903F3" w:rsidP="0044120D">
            <w:pPr>
              <w:spacing w:after="0" w:line="240" w:lineRule="auto"/>
              <w:rPr>
                <w:rFonts w:ascii="Times New Roman" w:hAnsi="Times New Roman"/>
                <w:sz w:val="24"/>
                <w:szCs w:val="24"/>
              </w:rPr>
            </w:pPr>
          </w:p>
        </w:tc>
        <w:tc>
          <w:tcPr>
            <w:tcW w:w="2504" w:type="dxa"/>
            <w:shd w:val="clear" w:color="auto" w:fill="auto"/>
          </w:tcPr>
          <w:p w14:paraId="615CBF01" w14:textId="77777777" w:rsidR="009903F3" w:rsidRPr="009903F3" w:rsidRDefault="009903F3" w:rsidP="0044120D">
            <w:pPr>
              <w:spacing w:after="0" w:line="240" w:lineRule="auto"/>
              <w:rPr>
                <w:rFonts w:ascii="Times New Roman" w:hAnsi="Times New Roman"/>
                <w:sz w:val="24"/>
                <w:szCs w:val="24"/>
              </w:rPr>
            </w:pPr>
          </w:p>
        </w:tc>
        <w:tc>
          <w:tcPr>
            <w:tcW w:w="1890" w:type="dxa"/>
            <w:shd w:val="clear" w:color="auto" w:fill="auto"/>
          </w:tcPr>
          <w:p w14:paraId="3E1886CC" w14:textId="77777777" w:rsidR="009903F3" w:rsidRPr="009903F3" w:rsidRDefault="009903F3" w:rsidP="0044120D">
            <w:pPr>
              <w:spacing w:after="0" w:line="240" w:lineRule="auto"/>
              <w:rPr>
                <w:rFonts w:ascii="Times New Roman" w:hAnsi="Times New Roman"/>
                <w:sz w:val="24"/>
                <w:szCs w:val="24"/>
              </w:rPr>
            </w:pPr>
          </w:p>
        </w:tc>
      </w:tr>
      <w:tr w:rsidR="00A64959" w:rsidRPr="00637782" w14:paraId="37B69406" w14:textId="77777777" w:rsidTr="009903F3">
        <w:trPr>
          <w:trHeight w:val="434"/>
          <w:jc w:val="center"/>
        </w:trPr>
        <w:tc>
          <w:tcPr>
            <w:tcW w:w="4678" w:type="dxa"/>
            <w:gridSpan w:val="2"/>
          </w:tcPr>
          <w:p w14:paraId="2DF3A10E" w14:textId="77777777" w:rsidR="00A64959" w:rsidRPr="009903F3" w:rsidRDefault="00A64959" w:rsidP="0044120D">
            <w:pPr>
              <w:spacing w:after="0" w:line="240" w:lineRule="auto"/>
              <w:rPr>
                <w:rFonts w:ascii="Times New Roman" w:hAnsi="Times New Roman"/>
                <w:b/>
                <w:sz w:val="24"/>
                <w:szCs w:val="24"/>
              </w:rPr>
            </w:pPr>
            <w:r w:rsidRPr="009903F3">
              <w:rPr>
                <w:rFonts w:ascii="Times New Roman" w:hAnsi="Times New Roman"/>
                <w:b/>
                <w:sz w:val="24"/>
                <w:szCs w:val="24"/>
              </w:rPr>
              <w:t xml:space="preserve">Za korisnika </w:t>
            </w:r>
          </w:p>
        </w:tc>
        <w:tc>
          <w:tcPr>
            <w:tcW w:w="4394" w:type="dxa"/>
            <w:gridSpan w:val="2"/>
          </w:tcPr>
          <w:p w14:paraId="76766967" w14:textId="29F38CA6" w:rsidR="00A64959" w:rsidRPr="009903F3" w:rsidRDefault="00A64959" w:rsidP="0044120D">
            <w:pPr>
              <w:spacing w:after="0" w:line="240" w:lineRule="auto"/>
              <w:rPr>
                <w:rFonts w:ascii="Times New Roman" w:hAnsi="Times New Roman"/>
                <w:b/>
                <w:sz w:val="24"/>
                <w:szCs w:val="24"/>
              </w:rPr>
            </w:pPr>
          </w:p>
        </w:tc>
      </w:tr>
      <w:tr w:rsidR="00A64959" w:rsidRPr="00637782" w14:paraId="0998C3FA" w14:textId="77777777" w:rsidTr="009903F3">
        <w:trPr>
          <w:trHeight w:val="457"/>
          <w:jc w:val="center"/>
        </w:trPr>
        <w:tc>
          <w:tcPr>
            <w:tcW w:w="1506" w:type="dxa"/>
          </w:tcPr>
          <w:p w14:paraId="72596A8A"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Ime</w:t>
            </w:r>
          </w:p>
        </w:tc>
        <w:tc>
          <w:tcPr>
            <w:tcW w:w="3172" w:type="dxa"/>
          </w:tcPr>
          <w:p w14:paraId="6B593175"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57CB431F" w14:textId="7F6780A3" w:rsidR="00A64959" w:rsidRPr="009903F3" w:rsidRDefault="00A64959" w:rsidP="0044120D">
            <w:pPr>
              <w:spacing w:after="0" w:line="240" w:lineRule="auto"/>
              <w:rPr>
                <w:rFonts w:ascii="Times New Roman" w:hAnsi="Times New Roman"/>
                <w:sz w:val="24"/>
                <w:szCs w:val="24"/>
              </w:rPr>
            </w:pPr>
          </w:p>
        </w:tc>
        <w:tc>
          <w:tcPr>
            <w:tcW w:w="1890" w:type="dxa"/>
          </w:tcPr>
          <w:p w14:paraId="2BDAF293" w14:textId="77777777" w:rsidR="00A64959" w:rsidRPr="009903F3" w:rsidRDefault="00A64959" w:rsidP="0044120D">
            <w:pPr>
              <w:spacing w:after="0" w:line="240" w:lineRule="auto"/>
              <w:rPr>
                <w:rFonts w:ascii="Times New Roman" w:hAnsi="Times New Roman"/>
                <w:sz w:val="24"/>
                <w:szCs w:val="24"/>
              </w:rPr>
            </w:pPr>
          </w:p>
        </w:tc>
      </w:tr>
      <w:tr w:rsidR="00A64959" w:rsidRPr="00637782" w14:paraId="68764B7A" w14:textId="77777777" w:rsidTr="009903F3">
        <w:trPr>
          <w:trHeight w:val="434"/>
          <w:jc w:val="center"/>
        </w:trPr>
        <w:tc>
          <w:tcPr>
            <w:tcW w:w="1506" w:type="dxa"/>
          </w:tcPr>
          <w:p w14:paraId="44A307BD"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Funkcija</w:t>
            </w:r>
          </w:p>
        </w:tc>
        <w:tc>
          <w:tcPr>
            <w:tcW w:w="3172" w:type="dxa"/>
          </w:tcPr>
          <w:p w14:paraId="3D6CC729"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11214025" w14:textId="40BEE03B" w:rsidR="00A64959" w:rsidRPr="009903F3" w:rsidRDefault="00A64959" w:rsidP="0044120D">
            <w:pPr>
              <w:spacing w:after="0" w:line="240" w:lineRule="auto"/>
              <w:rPr>
                <w:rFonts w:ascii="Times New Roman" w:hAnsi="Times New Roman"/>
                <w:sz w:val="24"/>
                <w:szCs w:val="24"/>
              </w:rPr>
            </w:pPr>
          </w:p>
        </w:tc>
        <w:tc>
          <w:tcPr>
            <w:tcW w:w="1890" w:type="dxa"/>
          </w:tcPr>
          <w:p w14:paraId="43A69386" w14:textId="77777777" w:rsidR="00A64959" w:rsidRPr="009903F3" w:rsidRDefault="00A64959" w:rsidP="0044120D">
            <w:pPr>
              <w:spacing w:after="0" w:line="240" w:lineRule="auto"/>
              <w:rPr>
                <w:rFonts w:ascii="Times New Roman" w:hAnsi="Times New Roman"/>
                <w:sz w:val="24"/>
                <w:szCs w:val="24"/>
              </w:rPr>
            </w:pPr>
          </w:p>
        </w:tc>
      </w:tr>
      <w:tr w:rsidR="00A64959" w:rsidRPr="00637782" w14:paraId="7995C7AB" w14:textId="77777777" w:rsidTr="009903F3">
        <w:trPr>
          <w:trHeight w:val="457"/>
          <w:jc w:val="center"/>
        </w:trPr>
        <w:tc>
          <w:tcPr>
            <w:tcW w:w="1506" w:type="dxa"/>
          </w:tcPr>
          <w:p w14:paraId="1D3A7252"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 xml:space="preserve">Potpis </w:t>
            </w:r>
          </w:p>
        </w:tc>
        <w:tc>
          <w:tcPr>
            <w:tcW w:w="3172" w:type="dxa"/>
          </w:tcPr>
          <w:p w14:paraId="664075F3"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51F9D407" w14:textId="75AD0A60" w:rsidR="00A64959" w:rsidRPr="009903F3" w:rsidRDefault="00A64959" w:rsidP="0044120D">
            <w:pPr>
              <w:spacing w:after="0" w:line="240" w:lineRule="auto"/>
              <w:rPr>
                <w:rFonts w:ascii="Times New Roman" w:hAnsi="Times New Roman"/>
                <w:sz w:val="24"/>
                <w:szCs w:val="24"/>
              </w:rPr>
            </w:pPr>
          </w:p>
        </w:tc>
        <w:tc>
          <w:tcPr>
            <w:tcW w:w="1890" w:type="dxa"/>
          </w:tcPr>
          <w:p w14:paraId="7847E7D5" w14:textId="77777777" w:rsidR="00A64959" w:rsidRPr="009903F3" w:rsidRDefault="00A64959" w:rsidP="0044120D">
            <w:pPr>
              <w:spacing w:after="0" w:line="240" w:lineRule="auto"/>
              <w:rPr>
                <w:rFonts w:ascii="Times New Roman" w:hAnsi="Times New Roman"/>
                <w:sz w:val="24"/>
                <w:szCs w:val="24"/>
              </w:rPr>
            </w:pPr>
          </w:p>
        </w:tc>
      </w:tr>
      <w:tr w:rsidR="00A64959" w:rsidRPr="00637782" w14:paraId="642FCF10" w14:textId="77777777" w:rsidTr="009903F3">
        <w:trPr>
          <w:trHeight w:val="434"/>
          <w:jc w:val="center"/>
        </w:trPr>
        <w:tc>
          <w:tcPr>
            <w:tcW w:w="1506" w:type="dxa"/>
          </w:tcPr>
          <w:p w14:paraId="0219DD8A" w14:textId="77777777" w:rsidR="00A64959" w:rsidRPr="009903F3" w:rsidRDefault="00A64959" w:rsidP="0044120D">
            <w:pPr>
              <w:spacing w:after="0" w:line="240" w:lineRule="auto"/>
              <w:rPr>
                <w:rFonts w:ascii="Times New Roman" w:hAnsi="Times New Roman"/>
                <w:sz w:val="24"/>
                <w:szCs w:val="24"/>
              </w:rPr>
            </w:pPr>
            <w:r w:rsidRPr="009903F3">
              <w:rPr>
                <w:rFonts w:ascii="Times New Roman" w:hAnsi="Times New Roman"/>
                <w:sz w:val="24"/>
                <w:szCs w:val="24"/>
              </w:rPr>
              <w:t>Datum</w:t>
            </w:r>
          </w:p>
        </w:tc>
        <w:tc>
          <w:tcPr>
            <w:tcW w:w="3172" w:type="dxa"/>
          </w:tcPr>
          <w:p w14:paraId="3554B8B2" w14:textId="77777777" w:rsidR="00A64959" w:rsidRPr="009903F3" w:rsidRDefault="00A64959" w:rsidP="0044120D">
            <w:pPr>
              <w:spacing w:after="0" w:line="240" w:lineRule="auto"/>
              <w:rPr>
                <w:rFonts w:ascii="Times New Roman" w:hAnsi="Times New Roman"/>
                <w:sz w:val="24"/>
                <w:szCs w:val="24"/>
              </w:rPr>
            </w:pPr>
          </w:p>
        </w:tc>
        <w:tc>
          <w:tcPr>
            <w:tcW w:w="2504" w:type="dxa"/>
          </w:tcPr>
          <w:p w14:paraId="0E3E5C09" w14:textId="0A740801" w:rsidR="00A64959" w:rsidRPr="009903F3" w:rsidRDefault="00A64959" w:rsidP="0044120D">
            <w:pPr>
              <w:spacing w:after="0" w:line="240" w:lineRule="auto"/>
              <w:rPr>
                <w:rFonts w:ascii="Times New Roman" w:hAnsi="Times New Roman"/>
                <w:sz w:val="24"/>
                <w:szCs w:val="24"/>
              </w:rPr>
            </w:pPr>
          </w:p>
        </w:tc>
        <w:tc>
          <w:tcPr>
            <w:tcW w:w="1890" w:type="dxa"/>
          </w:tcPr>
          <w:p w14:paraId="095D87CF" w14:textId="77777777" w:rsidR="00A64959" w:rsidRPr="009903F3" w:rsidRDefault="00A64959" w:rsidP="0044120D">
            <w:pPr>
              <w:spacing w:after="0" w:line="240" w:lineRule="auto"/>
              <w:rPr>
                <w:rFonts w:ascii="Times New Roman" w:hAnsi="Times New Roman"/>
                <w:sz w:val="24"/>
                <w:szCs w:val="24"/>
              </w:rPr>
            </w:pPr>
          </w:p>
        </w:tc>
      </w:tr>
    </w:tbl>
    <w:p w14:paraId="1BADC817" w14:textId="77777777" w:rsidR="00A64959" w:rsidRPr="009903F3" w:rsidRDefault="00A64959" w:rsidP="00FB1F08">
      <w:pPr>
        <w:rPr>
          <w:rFonts w:ascii="Times New Roman" w:hAnsi="Times New Roman"/>
          <w:sz w:val="24"/>
          <w:szCs w:val="24"/>
        </w:rPr>
      </w:pPr>
    </w:p>
    <w:sectPr w:rsidR="00A64959" w:rsidRPr="009903F3" w:rsidSect="00C87793">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C2D80" w16cid:durableId="1E77500A"/>
  <w16cid:commentId w16cid:paraId="100585B9" w16cid:durableId="1E775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DA09" w14:textId="77777777" w:rsidR="00395CBD" w:rsidRDefault="00395CBD" w:rsidP="00CE785D">
      <w:pPr>
        <w:spacing w:after="0" w:line="240" w:lineRule="auto"/>
      </w:pPr>
      <w:r>
        <w:separator/>
      </w:r>
    </w:p>
  </w:endnote>
  <w:endnote w:type="continuationSeparator" w:id="0">
    <w:p w14:paraId="614EF623" w14:textId="77777777" w:rsidR="00395CBD" w:rsidRDefault="00395CBD"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AAC4" w14:textId="5E314B9F" w:rsidR="009F345B" w:rsidRPr="009F345B" w:rsidRDefault="009F345B">
    <w:pPr>
      <w:pStyle w:val="Footer"/>
      <w:jc w:val="center"/>
      <w:rPr>
        <w:rFonts w:ascii="Times New Roman" w:hAnsi="Times New Roman"/>
        <w:sz w:val="18"/>
        <w:szCs w:val="18"/>
      </w:rPr>
    </w:pPr>
    <w:r w:rsidRPr="009F345B">
      <w:rPr>
        <w:rFonts w:ascii="Times New Roman" w:hAnsi="Times New Roman"/>
        <w:sz w:val="18"/>
        <w:szCs w:val="18"/>
      </w:rPr>
      <w:fldChar w:fldCharType="begin"/>
    </w:r>
    <w:r w:rsidRPr="009F345B">
      <w:rPr>
        <w:rFonts w:ascii="Times New Roman" w:hAnsi="Times New Roman"/>
        <w:sz w:val="18"/>
        <w:szCs w:val="18"/>
      </w:rPr>
      <w:instrText xml:space="preserve"> PAGE   \* MERGEFORMAT </w:instrText>
    </w:r>
    <w:r w:rsidRPr="009F345B">
      <w:rPr>
        <w:rFonts w:ascii="Times New Roman" w:hAnsi="Times New Roman"/>
        <w:sz w:val="18"/>
        <w:szCs w:val="18"/>
      </w:rPr>
      <w:fldChar w:fldCharType="separate"/>
    </w:r>
    <w:r w:rsidR="004A4C21">
      <w:rPr>
        <w:rFonts w:ascii="Times New Roman" w:hAnsi="Times New Roman"/>
        <w:noProof/>
        <w:sz w:val="18"/>
        <w:szCs w:val="18"/>
      </w:rPr>
      <w:t>6</w:t>
    </w:r>
    <w:r w:rsidRPr="009F345B">
      <w:rPr>
        <w:rFonts w:ascii="Times New Roman" w:hAnsi="Times New Roman"/>
        <w:noProof/>
        <w:sz w:val="18"/>
        <w:szCs w:val="18"/>
      </w:rPr>
      <w:fldChar w:fldCharType="end"/>
    </w:r>
    <w:r w:rsidR="008A7DC0">
      <w:rPr>
        <w:rFonts w:ascii="Times New Roman" w:hAnsi="Times New Roman"/>
        <w:noProof/>
        <w:sz w:val="18"/>
        <w:szCs w:val="18"/>
      </w:rPr>
      <w:t xml:space="preserve"> od </w:t>
    </w:r>
    <w:r w:rsidR="00392B43">
      <w:rPr>
        <w:rFonts w:ascii="Times New Roman" w:hAnsi="Times New Roman"/>
        <w:noProof/>
        <w:sz w:val="18"/>
        <w:szCs w:val="18"/>
      </w:rPr>
      <w:t>6</w:t>
    </w:r>
  </w:p>
  <w:p w14:paraId="69786CA0" w14:textId="77777777" w:rsidR="00A64959" w:rsidRDefault="00A6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83B7" w14:textId="77777777" w:rsidR="00395CBD" w:rsidRDefault="00395CBD" w:rsidP="00CE785D">
      <w:pPr>
        <w:spacing w:after="0" w:line="240" w:lineRule="auto"/>
      </w:pPr>
      <w:r>
        <w:separator/>
      </w:r>
    </w:p>
  </w:footnote>
  <w:footnote w:type="continuationSeparator" w:id="0">
    <w:p w14:paraId="1E32645A" w14:textId="77777777" w:rsidR="00395CBD" w:rsidRDefault="00395CBD" w:rsidP="00CE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58D2C46"/>
    <w:multiLevelType w:val="hybridMultilevel"/>
    <w:tmpl w:val="75E8E87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0AC3"/>
    <w:rsid w:val="00002DF2"/>
    <w:rsid w:val="00020E6F"/>
    <w:rsid w:val="000249C9"/>
    <w:rsid w:val="00026EC0"/>
    <w:rsid w:val="000560F5"/>
    <w:rsid w:val="00070EBC"/>
    <w:rsid w:val="000721D4"/>
    <w:rsid w:val="00082F3F"/>
    <w:rsid w:val="00092936"/>
    <w:rsid w:val="000A4A8C"/>
    <w:rsid w:val="000A73B0"/>
    <w:rsid w:val="000C178B"/>
    <w:rsid w:val="000C657A"/>
    <w:rsid w:val="000D12F4"/>
    <w:rsid w:val="000E24C3"/>
    <w:rsid w:val="000F1F58"/>
    <w:rsid w:val="000F205E"/>
    <w:rsid w:val="000F6C20"/>
    <w:rsid w:val="00105601"/>
    <w:rsid w:val="00105FA1"/>
    <w:rsid w:val="00110546"/>
    <w:rsid w:val="00110AAC"/>
    <w:rsid w:val="00111FBE"/>
    <w:rsid w:val="001220E4"/>
    <w:rsid w:val="001230EC"/>
    <w:rsid w:val="0012773D"/>
    <w:rsid w:val="00144305"/>
    <w:rsid w:val="001528F3"/>
    <w:rsid w:val="00153CCE"/>
    <w:rsid w:val="0015615A"/>
    <w:rsid w:val="001572C0"/>
    <w:rsid w:val="0016068D"/>
    <w:rsid w:val="00165A9C"/>
    <w:rsid w:val="0017016C"/>
    <w:rsid w:val="001741B2"/>
    <w:rsid w:val="00185D64"/>
    <w:rsid w:val="00192E02"/>
    <w:rsid w:val="0019364A"/>
    <w:rsid w:val="00193EA5"/>
    <w:rsid w:val="001B4B86"/>
    <w:rsid w:val="001B6DA9"/>
    <w:rsid w:val="001C0AF9"/>
    <w:rsid w:val="001D5962"/>
    <w:rsid w:val="001E5830"/>
    <w:rsid w:val="001E7E6E"/>
    <w:rsid w:val="001F0A07"/>
    <w:rsid w:val="001F76B8"/>
    <w:rsid w:val="00202273"/>
    <w:rsid w:val="0020325C"/>
    <w:rsid w:val="0021799A"/>
    <w:rsid w:val="00220BC9"/>
    <w:rsid w:val="0022416D"/>
    <w:rsid w:val="00235416"/>
    <w:rsid w:val="002356D3"/>
    <w:rsid w:val="00243843"/>
    <w:rsid w:val="002518F7"/>
    <w:rsid w:val="00257143"/>
    <w:rsid w:val="0026090A"/>
    <w:rsid w:val="0027338D"/>
    <w:rsid w:val="00273BBB"/>
    <w:rsid w:val="002759D4"/>
    <w:rsid w:val="00281362"/>
    <w:rsid w:val="00293456"/>
    <w:rsid w:val="002A60B6"/>
    <w:rsid w:val="002A7EE5"/>
    <w:rsid w:val="002B0CDC"/>
    <w:rsid w:val="002B145E"/>
    <w:rsid w:val="002C2893"/>
    <w:rsid w:val="002C68B3"/>
    <w:rsid w:val="002C7589"/>
    <w:rsid w:val="002D7B4D"/>
    <w:rsid w:val="002E27D4"/>
    <w:rsid w:val="002F7460"/>
    <w:rsid w:val="0030447A"/>
    <w:rsid w:val="0031167C"/>
    <w:rsid w:val="00313025"/>
    <w:rsid w:val="00313CC4"/>
    <w:rsid w:val="003206D9"/>
    <w:rsid w:val="00337283"/>
    <w:rsid w:val="003437A3"/>
    <w:rsid w:val="003473EC"/>
    <w:rsid w:val="00351B85"/>
    <w:rsid w:val="0035707D"/>
    <w:rsid w:val="00357D3F"/>
    <w:rsid w:val="00374DD0"/>
    <w:rsid w:val="003812CA"/>
    <w:rsid w:val="00391826"/>
    <w:rsid w:val="00392B43"/>
    <w:rsid w:val="00395CBD"/>
    <w:rsid w:val="00395D4A"/>
    <w:rsid w:val="003A05B5"/>
    <w:rsid w:val="003C07A7"/>
    <w:rsid w:val="003C1A57"/>
    <w:rsid w:val="003C36A2"/>
    <w:rsid w:val="003C5E7A"/>
    <w:rsid w:val="003C7B3C"/>
    <w:rsid w:val="003D1952"/>
    <w:rsid w:val="003D26D8"/>
    <w:rsid w:val="003D2A0C"/>
    <w:rsid w:val="003E00FE"/>
    <w:rsid w:val="003E08C5"/>
    <w:rsid w:val="003E4A43"/>
    <w:rsid w:val="003E5B39"/>
    <w:rsid w:val="00401BED"/>
    <w:rsid w:val="00401C82"/>
    <w:rsid w:val="004144B9"/>
    <w:rsid w:val="00414D67"/>
    <w:rsid w:val="004360B9"/>
    <w:rsid w:val="00437138"/>
    <w:rsid w:val="0044120D"/>
    <w:rsid w:val="004430D3"/>
    <w:rsid w:val="00444EF5"/>
    <w:rsid w:val="00457339"/>
    <w:rsid w:val="00457EBC"/>
    <w:rsid w:val="0047556F"/>
    <w:rsid w:val="0047673F"/>
    <w:rsid w:val="004767D6"/>
    <w:rsid w:val="004A4C21"/>
    <w:rsid w:val="004A5C4F"/>
    <w:rsid w:val="004A7626"/>
    <w:rsid w:val="004B40D7"/>
    <w:rsid w:val="004C4B23"/>
    <w:rsid w:val="004C7D80"/>
    <w:rsid w:val="004D1FE6"/>
    <w:rsid w:val="004D3543"/>
    <w:rsid w:val="004D38DB"/>
    <w:rsid w:val="004D56A3"/>
    <w:rsid w:val="004E79CD"/>
    <w:rsid w:val="004F7A84"/>
    <w:rsid w:val="0050611B"/>
    <w:rsid w:val="00510843"/>
    <w:rsid w:val="00522153"/>
    <w:rsid w:val="00530716"/>
    <w:rsid w:val="005340FE"/>
    <w:rsid w:val="005420EC"/>
    <w:rsid w:val="00547DFF"/>
    <w:rsid w:val="0056382D"/>
    <w:rsid w:val="0057491A"/>
    <w:rsid w:val="00585493"/>
    <w:rsid w:val="00590CC8"/>
    <w:rsid w:val="005A4E9C"/>
    <w:rsid w:val="005B624A"/>
    <w:rsid w:val="005D5E1B"/>
    <w:rsid w:val="005E3647"/>
    <w:rsid w:val="005E3991"/>
    <w:rsid w:val="005E53C2"/>
    <w:rsid w:val="005F168A"/>
    <w:rsid w:val="005F1DEB"/>
    <w:rsid w:val="005F3257"/>
    <w:rsid w:val="005F7F86"/>
    <w:rsid w:val="00601335"/>
    <w:rsid w:val="00616463"/>
    <w:rsid w:val="00616604"/>
    <w:rsid w:val="006206B0"/>
    <w:rsid w:val="00630E99"/>
    <w:rsid w:val="00637782"/>
    <w:rsid w:val="00641308"/>
    <w:rsid w:val="00647168"/>
    <w:rsid w:val="006540F7"/>
    <w:rsid w:val="00656297"/>
    <w:rsid w:val="00685486"/>
    <w:rsid w:val="00692FE9"/>
    <w:rsid w:val="0069404E"/>
    <w:rsid w:val="006A14B8"/>
    <w:rsid w:val="006A39DC"/>
    <w:rsid w:val="006A3DCD"/>
    <w:rsid w:val="006B0B98"/>
    <w:rsid w:val="006B215D"/>
    <w:rsid w:val="006B2D0E"/>
    <w:rsid w:val="006B5488"/>
    <w:rsid w:val="006B6C9C"/>
    <w:rsid w:val="006C4DCA"/>
    <w:rsid w:val="006E1B83"/>
    <w:rsid w:val="006E2C76"/>
    <w:rsid w:val="006E362B"/>
    <w:rsid w:val="006E5F19"/>
    <w:rsid w:val="006E6BB2"/>
    <w:rsid w:val="006E6FF2"/>
    <w:rsid w:val="00706347"/>
    <w:rsid w:val="00710ACD"/>
    <w:rsid w:val="0074423D"/>
    <w:rsid w:val="00754CB0"/>
    <w:rsid w:val="00765B0C"/>
    <w:rsid w:val="007668D1"/>
    <w:rsid w:val="007747CE"/>
    <w:rsid w:val="00781437"/>
    <w:rsid w:val="00792BE3"/>
    <w:rsid w:val="00794646"/>
    <w:rsid w:val="007B5E5C"/>
    <w:rsid w:val="007D01F4"/>
    <w:rsid w:val="007D49AC"/>
    <w:rsid w:val="007E29ED"/>
    <w:rsid w:val="007F4B4A"/>
    <w:rsid w:val="0080446A"/>
    <w:rsid w:val="00830130"/>
    <w:rsid w:val="00837FB9"/>
    <w:rsid w:val="00844517"/>
    <w:rsid w:val="008651BA"/>
    <w:rsid w:val="0086616F"/>
    <w:rsid w:val="00870F0C"/>
    <w:rsid w:val="00881804"/>
    <w:rsid w:val="00893AAD"/>
    <w:rsid w:val="00894CAC"/>
    <w:rsid w:val="00895260"/>
    <w:rsid w:val="008A3E94"/>
    <w:rsid w:val="008A7DC0"/>
    <w:rsid w:val="008B70BC"/>
    <w:rsid w:val="008C3555"/>
    <w:rsid w:val="008C3CCA"/>
    <w:rsid w:val="008D01A3"/>
    <w:rsid w:val="008D5DF4"/>
    <w:rsid w:val="008E4C41"/>
    <w:rsid w:val="008F1C28"/>
    <w:rsid w:val="008F5589"/>
    <w:rsid w:val="00901582"/>
    <w:rsid w:val="009169D7"/>
    <w:rsid w:val="00921512"/>
    <w:rsid w:val="00925317"/>
    <w:rsid w:val="00935E59"/>
    <w:rsid w:val="00942D4A"/>
    <w:rsid w:val="009609EE"/>
    <w:rsid w:val="009723AA"/>
    <w:rsid w:val="009805C2"/>
    <w:rsid w:val="00983069"/>
    <w:rsid w:val="009903F3"/>
    <w:rsid w:val="009A2CFF"/>
    <w:rsid w:val="009A456A"/>
    <w:rsid w:val="009A5000"/>
    <w:rsid w:val="009A7E86"/>
    <w:rsid w:val="009C08C2"/>
    <w:rsid w:val="009C430F"/>
    <w:rsid w:val="009D16BA"/>
    <w:rsid w:val="009D495C"/>
    <w:rsid w:val="009E1471"/>
    <w:rsid w:val="009F345B"/>
    <w:rsid w:val="009F34C8"/>
    <w:rsid w:val="00A02470"/>
    <w:rsid w:val="00A0467F"/>
    <w:rsid w:val="00A27FA8"/>
    <w:rsid w:val="00A32F72"/>
    <w:rsid w:val="00A419E8"/>
    <w:rsid w:val="00A567A7"/>
    <w:rsid w:val="00A64959"/>
    <w:rsid w:val="00A65272"/>
    <w:rsid w:val="00A6534C"/>
    <w:rsid w:val="00A67DB1"/>
    <w:rsid w:val="00A832B2"/>
    <w:rsid w:val="00A8635E"/>
    <w:rsid w:val="00A97887"/>
    <w:rsid w:val="00AA26C0"/>
    <w:rsid w:val="00AA5365"/>
    <w:rsid w:val="00AA5E85"/>
    <w:rsid w:val="00AB6DDE"/>
    <w:rsid w:val="00AC0D87"/>
    <w:rsid w:val="00AC1AAA"/>
    <w:rsid w:val="00AC33D2"/>
    <w:rsid w:val="00AC3B01"/>
    <w:rsid w:val="00AD2A29"/>
    <w:rsid w:val="00AD4720"/>
    <w:rsid w:val="00AD527D"/>
    <w:rsid w:val="00AD5B0A"/>
    <w:rsid w:val="00AD71BC"/>
    <w:rsid w:val="00AE02F8"/>
    <w:rsid w:val="00AE3025"/>
    <w:rsid w:val="00AE43BF"/>
    <w:rsid w:val="00AF39FD"/>
    <w:rsid w:val="00AF64D6"/>
    <w:rsid w:val="00B035F5"/>
    <w:rsid w:val="00B050B0"/>
    <w:rsid w:val="00B06411"/>
    <w:rsid w:val="00B14B71"/>
    <w:rsid w:val="00B304AB"/>
    <w:rsid w:val="00B4431A"/>
    <w:rsid w:val="00B51698"/>
    <w:rsid w:val="00B54741"/>
    <w:rsid w:val="00B56654"/>
    <w:rsid w:val="00B6381A"/>
    <w:rsid w:val="00B67F95"/>
    <w:rsid w:val="00B73000"/>
    <w:rsid w:val="00B8419D"/>
    <w:rsid w:val="00B84280"/>
    <w:rsid w:val="00B873FC"/>
    <w:rsid w:val="00BA25BE"/>
    <w:rsid w:val="00BA6E68"/>
    <w:rsid w:val="00BA7EF3"/>
    <w:rsid w:val="00BB7C24"/>
    <w:rsid w:val="00BC0AD5"/>
    <w:rsid w:val="00BC64FB"/>
    <w:rsid w:val="00BD15AE"/>
    <w:rsid w:val="00BD6662"/>
    <w:rsid w:val="00BD66FD"/>
    <w:rsid w:val="00BE58EA"/>
    <w:rsid w:val="00BF0B92"/>
    <w:rsid w:val="00BF2B4F"/>
    <w:rsid w:val="00C14FA5"/>
    <w:rsid w:val="00C2701C"/>
    <w:rsid w:val="00C27A4A"/>
    <w:rsid w:val="00C429D8"/>
    <w:rsid w:val="00C437FF"/>
    <w:rsid w:val="00C457E7"/>
    <w:rsid w:val="00C50AEA"/>
    <w:rsid w:val="00C514E6"/>
    <w:rsid w:val="00C53A9E"/>
    <w:rsid w:val="00C60187"/>
    <w:rsid w:val="00C74FE5"/>
    <w:rsid w:val="00C83CA5"/>
    <w:rsid w:val="00C86822"/>
    <w:rsid w:val="00C87793"/>
    <w:rsid w:val="00C959F3"/>
    <w:rsid w:val="00C96AEF"/>
    <w:rsid w:val="00C97FE9"/>
    <w:rsid w:val="00CA13D3"/>
    <w:rsid w:val="00CB2200"/>
    <w:rsid w:val="00CC7449"/>
    <w:rsid w:val="00CD2804"/>
    <w:rsid w:val="00CD2892"/>
    <w:rsid w:val="00CE0AFF"/>
    <w:rsid w:val="00CE2E2B"/>
    <w:rsid w:val="00CE785D"/>
    <w:rsid w:val="00CF0272"/>
    <w:rsid w:val="00CF2197"/>
    <w:rsid w:val="00D01E6F"/>
    <w:rsid w:val="00D025FE"/>
    <w:rsid w:val="00D04997"/>
    <w:rsid w:val="00D155AC"/>
    <w:rsid w:val="00D26388"/>
    <w:rsid w:val="00D3055C"/>
    <w:rsid w:val="00D308BC"/>
    <w:rsid w:val="00D431AA"/>
    <w:rsid w:val="00D60B9E"/>
    <w:rsid w:val="00D74045"/>
    <w:rsid w:val="00D74613"/>
    <w:rsid w:val="00D814F2"/>
    <w:rsid w:val="00D82F96"/>
    <w:rsid w:val="00D84AD5"/>
    <w:rsid w:val="00D95B78"/>
    <w:rsid w:val="00DB2058"/>
    <w:rsid w:val="00DB4BA1"/>
    <w:rsid w:val="00DC0E93"/>
    <w:rsid w:val="00DC13B8"/>
    <w:rsid w:val="00DC248C"/>
    <w:rsid w:val="00DC300B"/>
    <w:rsid w:val="00DC7A9F"/>
    <w:rsid w:val="00DD2ACC"/>
    <w:rsid w:val="00DE23DB"/>
    <w:rsid w:val="00DE667B"/>
    <w:rsid w:val="00DF037F"/>
    <w:rsid w:val="00E00583"/>
    <w:rsid w:val="00E12379"/>
    <w:rsid w:val="00E16D1F"/>
    <w:rsid w:val="00E253D6"/>
    <w:rsid w:val="00E325D9"/>
    <w:rsid w:val="00E3408A"/>
    <w:rsid w:val="00E479CA"/>
    <w:rsid w:val="00E57C6B"/>
    <w:rsid w:val="00E64BEB"/>
    <w:rsid w:val="00E80855"/>
    <w:rsid w:val="00E80D87"/>
    <w:rsid w:val="00E90F58"/>
    <w:rsid w:val="00E94A55"/>
    <w:rsid w:val="00E94EC6"/>
    <w:rsid w:val="00E94F6A"/>
    <w:rsid w:val="00EA70C3"/>
    <w:rsid w:val="00EA70D7"/>
    <w:rsid w:val="00EB1834"/>
    <w:rsid w:val="00EB1D88"/>
    <w:rsid w:val="00ED1D16"/>
    <w:rsid w:val="00ED2251"/>
    <w:rsid w:val="00ED7D53"/>
    <w:rsid w:val="00EE4804"/>
    <w:rsid w:val="00EE48EF"/>
    <w:rsid w:val="00EF3B1C"/>
    <w:rsid w:val="00F01E34"/>
    <w:rsid w:val="00F11DE6"/>
    <w:rsid w:val="00F222C2"/>
    <w:rsid w:val="00F2324E"/>
    <w:rsid w:val="00F2475D"/>
    <w:rsid w:val="00F2623F"/>
    <w:rsid w:val="00F271A3"/>
    <w:rsid w:val="00F33AC5"/>
    <w:rsid w:val="00F40153"/>
    <w:rsid w:val="00F466C0"/>
    <w:rsid w:val="00F47DBD"/>
    <w:rsid w:val="00F57168"/>
    <w:rsid w:val="00F61FC3"/>
    <w:rsid w:val="00F721C9"/>
    <w:rsid w:val="00F9342A"/>
    <w:rsid w:val="00FA0BED"/>
    <w:rsid w:val="00FA58E7"/>
    <w:rsid w:val="00FA610D"/>
    <w:rsid w:val="00FA7060"/>
    <w:rsid w:val="00FA7802"/>
    <w:rsid w:val="00FB1F08"/>
    <w:rsid w:val="00FC4A51"/>
    <w:rsid w:val="00FE115A"/>
    <w:rsid w:val="00FE1A48"/>
    <w:rsid w:val="00FE2568"/>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420DEA70-3A20-43F3-8B1B-A8EB4973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99"/>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styleId="BodyText">
    <w:name w:val="Body Text"/>
    <w:basedOn w:val="Normal"/>
    <w:link w:val="BodyTextChar"/>
    <w:uiPriority w:val="1"/>
    <w:rsid w:val="00457EBC"/>
    <w:pPr>
      <w:spacing w:before="120"/>
      <w:ind w:left="116"/>
    </w:pPr>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457EBC"/>
    <w:rPr>
      <w:rFonts w:asciiTheme="minorHAnsi" w:eastAsiaTheme="minorEastAsia" w:hAnsiTheme="minorHAnsi" w:cstheme="minorBidi"/>
      <w:sz w:val="22"/>
      <w:szCs w:val="22"/>
      <w:lang w:eastAsia="en-US"/>
    </w:rPr>
  </w:style>
  <w:style w:type="paragraph" w:styleId="NormalWeb">
    <w:name w:val="Normal (Web)"/>
    <w:basedOn w:val="Normal"/>
    <w:uiPriority w:val="99"/>
    <w:rsid w:val="00457EBC"/>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1667</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Ira Bušelić</cp:lastModifiedBy>
  <cp:revision>15</cp:revision>
  <cp:lastPrinted>2018-01-10T09:26:00Z</cp:lastPrinted>
  <dcterms:created xsi:type="dcterms:W3CDTF">2018-04-10T12:14:00Z</dcterms:created>
  <dcterms:modified xsi:type="dcterms:W3CDTF">2018-04-24T08:22:00Z</dcterms:modified>
</cp:coreProperties>
</file>