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E555" w14:textId="77777777" w:rsidR="00F14D30" w:rsidRDefault="00F14D30" w:rsidP="00EF62F7">
      <w:pPr>
        <w:rPr>
          <w:rFonts w:ascii="Lucida Sans Unicode" w:hAnsi="Lucida Sans Unicode"/>
          <w:b/>
          <w:i/>
          <w:sz w:val="22"/>
        </w:rPr>
      </w:pPr>
    </w:p>
    <w:p w14:paraId="4C44EA56" w14:textId="77777777"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14:paraId="0ADEB3C5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14:paraId="1CA34DD5" w14:textId="77777777"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D94C1B" w:rsidRPr="0073320F">
        <w:rPr>
          <w:rFonts w:ascii="Lucida Sans Unicode" w:hAnsi="Lucida Sans Unicode" w:cs="Lucida Sans Unicode"/>
          <w:sz w:val="22"/>
          <w:szCs w:val="22"/>
        </w:rPr>
        <w:t xml:space="preserve">(NN br. 90/11, 83/13, 143/13 i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)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="00BE2DFF" w:rsidRPr="0073320F">
        <w:rPr>
          <w:rFonts w:ascii="Lucida Sans Unicode" w:hAnsi="Lucida Sans Unicode" w:cs="Lucida Sans Unicode"/>
          <w:sz w:val="22"/>
          <w:szCs w:val="22"/>
        </w:rPr>
        <w:t>eng</w:t>
      </w:r>
      <w:proofErr w:type="spellEnd"/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-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Purchasing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Organisations</w:t>
      </w:r>
      <w:proofErr w:type="spellEnd"/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3FED9FDF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14:paraId="1A1B1065" w14:textId="5DFDAF92"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14:paraId="02DAD094" w14:textId="1FF70A4C"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14:paraId="1F8069FA" w14:textId="77777777"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14:paraId="1C6E55BF" w14:textId="77777777"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14:paraId="4FDC3429" w14:textId="77777777" w:rsidR="001738E9" w:rsidRPr="001A6EB1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14:paraId="4DC9F670" w14:textId="77777777" w:rsidR="00296906" w:rsidRPr="0073320F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 xml:space="preserve">načelo slobode poslovnog </w:t>
      </w:r>
      <w:proofErr w:type="spellStart"/>
      <w:r w:rsidRPr="0073320F">
        <w:rPr>
          <w:rFonts w:ascii="Lucida Sans Unicode" w:hAnsi="Lucida Sans Unicode"/>
          <w:color w:val="000000"/>
          <w:sz w:val="22"/>
          <w:u w:val="single"/>
        </w:rPr>
        <w:t>nastana</w:t>
      </w:r>
      <w:proofErr w:type="spellEnd"/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nastana</w:t>
      </w:r>
      <w:proofErr w:type="spellEnd"/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ii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>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14:paraId="580015F4" w14:textId="77777777" w:rsidR="001738E9" w:rsidRPr="0061314B" w:rsidRDefault="00705D25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011D503B" w14:textId="15ABA53E" w:rsidR="001738E9" w:rsidRPr="001A23A6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lastRenderedPageBreak/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14:paraId="5C9BA972" w14:textId="77777777" w:rsidR="00A61471" w:rsidRPr="00A61471" w:rsidRDefault="007B645D" w:rsidP="00A61471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28A61D96" w14:textId="77777777" w:rsidR="00697336" w:rsidRPr="00697336" w:rsidRDefault="00697336" w:rsidP="00AB0AC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14:paraId="07C9CE80" w14:textId="77777777" w:rsidR="005D2063" w:rsidRPr="007C46B5" w:rsidRDefault="001738E9" w:rsidP="008611B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14:paraId="6403B128" w14:textId="77777777"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14:paraId="7CB02F42" w14:textId="77777777"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14:paraId="0E11EE1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14:paraId="60E8A12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14:paraId="577C48F6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14:paraId="5607EABF" w14:textId="77777777"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14:paraId="21EAF7E9" w14:textId="77777777"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4E355DB1" w14:textId="77777777"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346A3F47" w14:textId="77777777" w:rsidR="00AB0EBC" w:rsidRDefault="00AB0EBC">
      <w:pPr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br w:type="page"/>
      </w:r>
    </w:p>
    <w:p w14:paraId="08C57203" w14:textId="793D015D"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bookmarkStart w:id="0" w:name="_GoBack"/>
      <w:bookmarkEnd w:id="0"/>
      <w:r w:rsidRPr="001A1664">
        <w:rPr>
          <w:rFonts w:ascii="Lucida Sans Unicode" w:hAnsi="Lucida Sans Unicode" w:cs="Lucida Sans Unicode"/>
          <w:b/>
          <w:sz w:val="22"/>
          <w:szCs w:val="22"/>
        </w:rPr>
        <w:lastRenderedPageBreak/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14:paraId="1B4D3EDD" w14:textId="77777777" w:rsidTr="00A61471">
        <w:tc>
          <w:tcPr>
            <w:tcW w:w="9185" w:type="dxa"/>
            <w:gridSpan w:val="4"/>
          </w:tcPr>
          <w:p w14:paraId="19B3A1A7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14:paraId="59A230A0" w14:textId="77777777" w:rsidTr="00A61471">
        <w:tc>
          <w:tcPr>
            <w:tcW w:w="1701" w:type="dxa"/>
          </w:tcPr>
          <w:p w14:paraId="7D716ACA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14:paraId="031AC4A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14:paraId="34F77C35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14:paraId="1564DDE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14:paraId="23EA13ED" w14:textId="77777777" w:rsidTr="00A61471">
        <w:tc>
          <w:tcPr>
            <w:tcW w:w="1701" w:type="dxa"/>
          </w:tcPr>
          <w:p w14:paraId="3E304311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14:paraId="5C89ADF4" w14:textId="3C9B7439"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14:paraId="28E34E1F" w14:textId="32C685A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3338C4FE" w14:textId="163EFD1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69999693" w14:textId="77777777" w:rsidTr="00A61471">
        <w:tc>
          <w:tcPr>
            <w:tcW w:w="1701" w:type="dxa"/>
          </w:tcPr>
          <w:p w14:paraId="660B21CB" w14:textId="097F0E6E"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14:paraId="541C5983" w14:textId="6A594D9A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14:paraId="5EA2DE97" w14:textId="7F02FD42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29422531" w14:textId="30BAD7E5"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1B2FE2E6" w14:textId="77777777" w:rsidTr="00A61471">
        <w:tc>
          <w:tcPr>
            <w:tcW w:w="1701" w:type="dxa"/>
          </w:tcPr>
          <w:p w14:paraId="44327412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14:paraId="5E9BBB3E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14:paraId="176B1829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14:paraId="028AA02F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14:paraId="17205166" w14:textId="77777777"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4DDF773E" w14:textId="77777777"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14:paraId="10EE606A" w14:textId="77777777"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14:paraId="23F582A6" w14:textId="77777777"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14:paraId="1CA1E05D" w14:textId="77777777"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0A3A5BCB" w14:textId="16A1C25C"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14:paraId="7BE032CA" w14:textId="3643C7D3"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14:paraId="63096A7D" w14:textId="77777777"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FootnoteReference"/>
          <w:rFonts w:ascii="Lucida Sans Unicode" w:hAnsi="Lucida Sans Unicode"/>
          <w:sz w:val="22"/>
        </w:rPr>
        <w:footnoteReference w:id="2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14:paraId="7B472808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14:paraId="73D7A6F3" w14:textId="540312F5" w:rsidR="005707C3" w:rsidRPr="00BA291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lastRenderedPageBreak/>
        <w:t>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14:paraId="332CB5C9" w14:textId="77777777" w:rsidR="005707C3" w:rsidRPr="00906B88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14:paraId="55469D16" w14:textId="01E96571" w:rsidR="005707C3" w:rsidRPr="00395AA1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14:paraId="11053042" w14:textId="77777777" w:rsidR="005707C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14:paraId="0F191099" w14:textId="77777777"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 xml:space="preserve">. Prije početka direktne pogodbe u skladu s alinejama a) do d) </w:t>
      </w:r>
      <w:proofErr w:type="spellStart"/>
      <w:r w:rsidRPr="001A1664">
        <w:rPr>
          <w:rFonts w:ascii="Lucida Sans Unicode" w:hAnsi="Lucida Sans Unicode"/>
          <w:sz w:val="22"/>
        </w:rPr>
        <w:t>podtočke</w:t>
      </w:r>
      <w:proofErr w:type="spellEnd"/>
      <w:r w:rsidRPr="001A1664">
        <w:rPr>
          <w:rFonts w:ascii="Lucida Sans Unicode" w:hAnsi="Lucida Sans Unicode"/>
          <w:sz w:val="22"/>
        </w:rPr>
        <w:t xml:space="preserve">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14:paraId="4F9E6F09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14:paraId="727A956A" w14:textId="045FCD99"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14:paraId="63C2FE8A" w14:textId="2C60CAC5"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FootnoteReference"/>
          <w:rFonts w:ascii="Lucida Sans Unicode" w:hAnsi="Lucida Sans Unicode"/>
          <w:sz w:val="22"/>
        </w:rPr>
        <w:footnoteReference w:id="3"/>
      </w:r>
      <w:r w:rsidR="005707C3">
        <w:rPr>
          <w:rFonts w:ascii="Lucida Sans Unicode" w:hAnsi="Lucida Sans Unicode"/>
          <w:sz w:val="22"/>
        </w:rPr>
        <w:t>.</w:t>
      </w:r>
    </w:p>
    <w:p w14:paraId="3505B2B1" w14:textId="0597569D"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14:paraId="36A5002D" w14:textId="77777777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14:paraId="102D13AF" w14:textId="1F7DC5C5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="00213C79" w:rsidRPr="008A4794">
        <w:rPr>
          <w:rFonts w:ascii="Lucida Sans Unicode" w:hAnsi="Lucida Sans Unicode"/>
          <w:sz w:val="22"/>
        </w:rPr>
        <w:t>podtočki</w:t>
      </w:r>
      <w:proofErr w:type="spellEnd"/>
      <w:r w:rsidR="00213C79"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14:paraId="3D511E86" w14:textId="1B8E2550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14:paraId="248BDCDF" w14:textId="48B56023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14:paraId="6DC36A39" w14:textId="77777777"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14:paraId="7CCEF4DB" w14:textId="7135F494"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14:paraId="2A9461FB" w14:textId="3DF4D81D"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14:paraId="197FADBB" w14:textId="77777777"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14:paraId="5238A6B7" w14:textId="77777777"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14:paraId="2E381EB0" w14:textId="17C07F8E"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</w:t>
      </w:r>
      <w:proofErr w:type="spellStart"/>
      <w:r w:rsidR="0035266B" w:rsidRPr="007C64BD">
        <w:rPr>
          <w:rFonts w:ascii="Lucida Sans Unicode" w:hAnsi="Lucida Sans Unicode"/>
          <w:sz w:val="22"/>
        </w:rPr>
        <w:t>OoN</w:t>
      </w:r>
      <w:proofErr w:type="spellEnd"/>
      <w:r w:rsidR="0035266B" w:rsidRPr="007C64BD">
        <w:rPr>
          <w:rFonts w:ascii="Lucida Sans Unicode" w:hAnsi="Lucida Sans Unicode"/>
          <w:sz w:val="22"/>
        </w:rPr>
        <w:t>)</w:t>
      </w:r>
      <w:r w:rsidR="004634B5" w:rsidRPr="001A6EB1">
        <w:rPr>
          <w:rFonts w:ascii="Lucida Sans Unicode" w:hAnsi="Lucida Sans Unicode"/>
          <w:sz w:val="22"/>
        </w:rPr>
        <w:t>.</w:t>
      </w:r>
    </w:p>
    <w:p w14:paraId="39FE069A" w14:textId="06EEF938"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>N</w:t>
      </w:r>
      <w:proofErr w:type="spellEnd"/>
      <w:r w:rsidR="001738E9" w:rsidRPr="00230CDC">
        <w:rPr>
          <w:rFonts w:ascii="Lucida Sans Unicode" w:hAnsi="Lucida Sans Unicode"/>
          <w:sz w:val="22"/>
        </w:rPr>
        <w:t xml:space="preserve">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14:paraId="6150126B" w14:textId="72934F5C"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-a i dokumentacije za nadmetanje sukladno </w:t>
      </w:r>
      <w:proofErr w:type="spellStart"/>
      <w:r w:rsidR="00FB1289" w:rsidRPr="00012255">
        <w:rPr>
          <w:rFonts w:ascii="Lucida Sans Unicode" w:hAnsi="Lucida Sans Unicode"/>
          <w:sz w:val="22"/>
        </w:rPr>
        <w:t>podtočki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 xml:space="preserve">a </w:t>
      </w:r>
      <w:proofErr w:type="spellStart"/>
      <w:r w:rsidR="00003930" w:rsidRPr="00012255">
        <w:rPr>
          <w:rFonts w:ascii="Lucida Sans Unicode" w:hAnsi="Lucida Sans Unicode"/>
          <w:sz w:val="22"/>
        </w:rPr>
        <w:t>OoN</w:t>
      </w:r>
      <w:proofErr w:type="spellEnd"/>
      <w:r w:rsidR="00003930" w:rsidRPr="00012255">
        <w:rPr>
          <w:rFonts w:ascii="Lucida Sans Unicode" w:hAnsi="Lucida Sans Unicode"/>
          <w:sz w:val="22"/>
        </w:rPr>
        <w:t xml:space="preserve">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14:paraId="1F34FF7F" w14:textId="3670A7BD"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Pr="008A4794">
        <w:rPr>
          <w:rFonts w:ascii="Lucida Sans Unicode" w:hAnsi="Lucida Sans Unicode"/>
          <w:sz w:val="22"/>
        </w:rPr>
        <w:t>podtočki</w:t>
      </w:r>
      <w:proofErr w:type="spellEnd"/>
      <w:r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14:paraId="59E85206" w14:textId="16025441" w:rsidR="007468F9" w:rsidRDefault="0095778D" w:rsidP="007468F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14:paraId="215DC2F9" w14:textId="4A0FD516"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14:paraId="250D90F7" w14:textId="1A14AFD9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proofErr w:type="spellStart"/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proofErr w:type="spellStart"/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>točkama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14:paraId="147F2AA6" w14:textId="26AACD68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>N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14:paraId="6D93F0C1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5F87FCC5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14:paraId="3043313F" w14:textId="4262BEAC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14:paraId="4C9435A0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14:paraId="7D851F8B" w14:textId="5F2035B4"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14:paraId="6CDA22E6" w14:textId="3E11FE86"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14:paraId="222E96D6" w14:textId="5FD887B9"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14:paraId="5EEC237C" w14:textId="1F482C4C"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14:paraId="0E6EA697" w14:textId="270B08D4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14:paraId="45F9B1B1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14:paraId="1722AE0B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14:paraId="76DFD248" w14:textId="7220DD95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14:paraId="3E64BFEB" w14:textId="357B3A61"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14:paraId="0393127D" w14:textId="4252D16C"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14:paraId="6395D104" w14:textId="67BB65CD"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14:paraId="402A02AA" w14:textId="19D31426"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14:paraId="64FB4D78" w14:textId="3828C635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17D7E224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14:paraId="500B47FC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14:paraId="5BD55E45" w14:textId="0F48BC3E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14:paraId="238E6119" w14:textId="77777777"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14:paraId="4B405229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14:paraId="7D9CC9B4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02F3044B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14:paraId="3FF85523" w14:textId="20FA5430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34E6F9C8" w14:textId="77777777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7206F86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14:paraId="1074E1FD" w14:textId="77777777"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6F0E548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13CE23B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5DD754EA" w14:textId="77777777"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14:paraId="3FC3975E" w14:textId="77777777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14:paraId="25172CCE" w14:textId="051EA3F8"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14:paraId="194160A0" w14:textId="0E2C4405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14:paraId="2C7CADE8" w14:textId="462872C6"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14:paraId="2510E417" w14:textId="533A24E5"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14:paraId="06C6BFDF" w14:textId="51A14BF8"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14:paraId="11BB7487" w14:textId="08F62654"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14:paraId="5A7F11CD" w14:textId="45190818"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14:paraId="352F83F7" w14:textId="4A3C21BF"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</w:t>
      </w:r>
      <w:proofErr w:type="spellStart"/>
      <w:r w:rsidR="00285278">
        <w:rPr>
          <w:rFonts w:ascii="Lucida Sans Unicode" w:hAnsi="Lucida Sans Unicode"/>
          <w:sz w:val="22"/>
        </w:rPr>
        <w:t>OoN</w:t>
      </w:r>
      <w:proofErr w:type="spellEnd"/>
      <w:r w:rsidR="00285278">
        <w:rPr>
          <w:rFonts w:ascii="Lucida Sans Unicode" w:hAnsi="Lucida Sans Unicode"/>
          <w:sz w:val="22"/>
        </w:rPr>
        <w:t xml:space="preserve">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>prije 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14:paraId="7AE66116" w14:textId="710ACE8B"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proofErr w:type="spellStart"/>
      <w:r w:rsidR="005466F6" w:rsidRPr="004E6363">
        <w:rPr>
          <w:rFonts w:ascii="Lucida Sans Unicode" w:hAnsi="Lucida Sans Unicode"/>
          <w:sz w:val="22"/>
        </w:rPr>
        <w:t>OoN</w:t>
      </w:r>
      <w:proofErr w:type="spellEnd"/>
      <w:r w:rsidR="005466F6" w:rsidRPr="004E6363">
        <w:rPr>
          <w:rFonts w:ascii="Lucida Sans Unicode" w:hAnsi="Lucida Sans Unicode"/>
          <w:sz w:val="22"/>
        </w:rPr>
        <w:t xml:space="preserve">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14:paraId="73277855" w14:textId="46A29EEF"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14:paraId="27407F92" w14:textId="7B212E48" w:rsid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14:paraId="42F97053" w14:textId="77777777"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</w:p>
    <w:p w14:paraId="706ABBEF" w14:textId="0C43094C"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14:paraId="1C902ECB" w14:textId="7D680E35" w:rsidR="002A403A" w:rsidRPr="00556403" w:rsidRDefault="002A403A" w:rsidP="003311A2">
      <w:pPr>
        <w:pStyle w:val="ListParagraph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14:paraId="625FE149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14:paraId="1352888F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14:paraId="604DA406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14:paraId="1D9A5E5C" w14:textId="45418B04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14:paraId="4622C3A4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14:paraId="3EB84AB6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14:paraId="70F502B3" w14:textId="3B1895A2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</w:t>
      </w:r>
      <w:proofErr w:type="spellStart"/>
      <w:r w:rsidR="00EA7DDC">
        <w:rPr>
          <w:rFonts w:ascii="Lucida Sans Unicode" w:hAnsi="Lucida Sans Unicode"/>
          <w:sz w:val="22"/>
        </w:rPr>
        <w:t>podtočkama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14:paraId="1869CA5B" w14:textId="3E0EB2E2"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14:paraId="2D84CAD1" w14:textId="2A74B110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14:paraId="5A6591E2" w14:textId="6A229CF6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14:paraId="059A82C4" w14:textId="2E49AE49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14:paraId="13974FC1" w14:textId="34CE0854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14:paraId="07B3C287" w14:textId="494D42FC"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14:paraId="163A6407" w14:textId="5494499F"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</w:t>
      </w:r>
      <w:r w:rsidR="005B33CE">
        <w:rPr>
          <w:rFonts w:ascii="Lucida Sans Unicode" w:hAnsi="Lucida Sans Unicode"/>
          <w:sz w:val="22"/>
        </w:rPr>
        <w:lastRenderedPageBreak/>
        <w:t xml:space="preserve">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14:paraId="7931D02D" w14:textId="598C4DE3"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14:paraId="36176C2B" w14:textId="44DEEDB3"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14:paraId="4688EF48" w14:textId="2930B1FD"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14:paraId="0E508A2E" w14:textId="77777777"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14:paraId="42D1C534" w14:textId="77777777"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14:paraId="42DCF912" w14:textId="3F7B8397"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14:paraId="324C00C8" w14:textId="01D19494"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14:paraId="15286322" w14:textId="1F1AFB50"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14:paraId="5FD14DD7" w14:textId="5430CB28" w:rsidR="00CB5C1C" w:rsidRDefault="00EC425E" w:rsidP="005079C0">
      <w:pPr>
        <w:pStyle w:val="ListParagraph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FootnoteReference"/>
          <w:rFonts w:ascii="Lucida Sans Unicode" w:hAnsi="Lucida Sans Unicode"/>
          <w:sz w:val="22"/>
        </w:rPr>
        <w:footnoteReference w:id="4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14:paraId="6C820E8E" w14:textId="29D9B6AE" w:rsidR="001738E9" w:rsidRPr="001A6EB1" w:rsidRDefault="001738E9" w:rsidP="00647006">
      <w:pPr>
        <w:pStyle w:val="ListParagraph"/>
        <w:spacing w:after="120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14:paraId="54755F70" w14:textId="77777777" w:rsidR="001738E9" w:rsidRPr="001A6EB1" w:rsidRDefault="001738E9" w:rsidP="00647006">
      <w:pPr>
        <w:spacing w:after="120"/>
      </w:pPr>
    </w:p>
    <w:sectPr w:rsidR="001738E9" w:rsidRPr="001A6EB1" w:rsidSect="005000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C5C3D" w14:textId="77777777" w:rsidR="00583E50" w:rsidRDefault="00583E50" w:rsidP="0068693B">
      <w:r>
        <w:separator/>
      </w:r>
    </w:p>
  </w:endnote>
  <w:endnote w:type="continuationSeparator" w:id="0">
    <w:p w14:paraId="14854216" w14:textId="77777777" w:rsidR="00583E50" w:rsidRDefault="00583E50" w:rsidP="0068693B">
      <w:r>
        <w:continuationSeparator/>
      </w:r>
    </w:p>
  </w:endnote>
  <w:endnote w:type="continuationNotice" w:id="1">
    <w:p w14:paraId="0E50E92E" w14:textId="77777777" w:rsidR="00583E50" w:rsidRDefault="00583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254385"/>
      <w:docPartObj>
        <w:docPartGallery w:val="Page Numbers (Bottom of Page)"/>
        <w:docPartUnique/>
      </w:docPartObj>
    </w:sdtPr>
    <w:sdtContent>
      <w:p w14:paraId="068EDDAA" w14:textId="6234F21D" w:rsidR="003871DC" w:rsidRDefault="00EF62F7" w:rsidP="00EF62F7">
        <w:pPr>
          <w:pStyle w:val="Footer"/>
          <w:ind w:firstLine="2160"/>
        </w:pPr>
        <w:r>
          <w:rPr>
            <w:noProof/>
          </w:rPr>
          <w:drawing>
            <wp:inline distT="0" distB="0" distL="0" distR="0" wp14:anchorId="59AB5842" wp14:editId="1D65B747">
              <wp:extent cx="2752725" cy="922740"/>
              <wp:effectExtent l="0" t="0" r="0" b="0"/>
              <wp:docPr id="1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118" t="42497" b="-1384"/>
                      <a:stretch/>
                    </pic:blipFill>
                    <pic:spPr bwMode="auto">
                      <a:xfrm>
                        <a:off x="0" y="0"/>
                        <a:ext cx="2765701" cy="92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0EBC">
          <w:rPr>
            <w:noProof/>
          </w:rPr>
          <w:t>10</w:t>
        </w:r>
        <w:r>
          <w:fldChar w:fldCharType="end"/>
        </w:r>
        <w:r>
          <w:t xml:space="preserve">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00B0" w14:textId="77777777" w:rsidR="00583E50" w:rsidRDefault="00583E50" w:rsidP="0068693B">
      <w:r>
        <w:separator/>
      </w:r>
    </w:p>
  </w:footnote>
  <w:footnote w:type="continuationSeparator" w:id="0">
    <w:p w14:paraId="3680485B" w14:textId="77777777" w:rsidR="00583E50" w:rsidRDefault="00583E50" w:rsidP="0068693B">
      <w:r>
        <w:continuationSeparator/>
      </w:r>
    </w:p>
  </w:footnote>
  <w:footnote w:type="continuationNotice" w:id="1">
    <w:p w14:paraId="18C68C5C" w14:textId="77777777" w:rsidR="00583E50" w:rsidRDefault="00583E50"/>
  </w:footnote>
  <w:footnote w:id="2">
    <w:p w14:paraId="51786A75" w14:textId="77777777" w:rsidR="003871DC" w:rsidRDefault="003871DC" w:rsidP="00887B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3">
    <w:p w14:paraId="6BF87014" w14:textId="77777777" w:rsidR="003871DC" w:rsidRPr="00AE0AF1" w:rsidRDefault="003871DC" w:rsidP="00BB52CE">
      <w:pPr>
        <w:pStyle w:val="FootnoteText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4">
    <w:p w14:paraId="03941C52" w14:textId="1EFCB6ED" w:rsidR="003871DC" w:rsidRDefault="003871DC" w:rsidP="004B5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425E">
        <w:t>http://ec.europa.eu/regional_policy/sources/docoffic/cocof/2013/cocof_13_9527_hr.pdf</w:t>
      </w:r>
    </w:p>
    <w:p w14:paraId="640F3913" w14:textId="77777777" w:rsidR="003871DC" w:rsidRDefault="00387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56607" w14:textId="45C373E1" w:rsidR="00EF62F7" w:rsidRDefault="00EF62F7">
    <w:pPr>
      <w:pStyle w:val="Header"/>
    </w:pPr>
    <w:r>
      <w:rPr>
        <w:noProof/>
      </w:rPr>
      <w:drawing>
        <wp:inline distT="0" distB="0" distL="0" distR="0" wp14:anchorId="764160E4" wp14:editId="452F0915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5A83"/>
    <w:rsid w:val="000B6C32"/>
    <w:rsid w:val="000B7960"/>
    <w:rsid w:val="000C3889"/>
    <w:rsid w:val="000D47D6"/>
    <w:rsid w:val="000E2BAD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10D4"/>
    <w:rsid w:val="00501A4F"/>
    <w:rsid w:val="00501AE5"/>
    <w:rsid w:val="0050341E"/>
    <w:rsid w:val="00504857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713C"/>
    <w:rsid w:val="00583E50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7015"/>
    <w:rsid w:val="00A977B1"/>
    <w:rsid w:val="00A97EDD"/>
    <w:rsid w:val="00AA2448"/>
    <w:rsid w:val="00AA2F45"/>
    <w:rsid w:val="00AA5FB8"/>
    <w:rsid w:val="00AB0ACB"/>
    <w:rsid w:val="00AB0EBC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2F7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3C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Heading1">
    <w:name w:val="heading 1"/>
    <w:basedOn w:val="Normal"/>
    <w:link w:val="Heading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Heading5">
    <w:name w:val="heading 5"/>
    <w:basedOn w:val="Normal"/>
    <w:link w:val="Heading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Heading6">
    <w:name w:val="heading 6"/>
    <w:basedOn w:val="Normal"/>
    <w:link w:val="Heading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5BB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sion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TableGrid">
    <w:name w:val="Table Grid"/>
    <w:basedOn w:val="TableNormal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E0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1BB9"/>
  </w:style>
  <w:style w:type="paragraph" w:styleId="Normal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0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0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DefaultParagraphFont"/>
    <w:rsid w:val="005D1BB9"/>
  </w:style>
  <w:style w:type="character" w:customStyle="1" w:styleId="normalchar1">
    <w:name w:val="normal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DefaultParagraphFont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DefaultParagraphFont"/>
    <w:rsid w:val="005D1BB9"/>
    <w:rPr>
      <w:sz w:val="20"/>
      <w:szCs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DefaultParagraphFont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DefaultParagraphFont"/>
    <w:rsid w:val="005D1BB9"/>
  </w:style>
  <w:style w:type="character" w:customStyle="1" w:styleId="list0020numberchar1">
    <w:name w:val="list_0020numb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DefaultParagraphFont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Heading1">
    <w:name w:val="heading 1"/>
    <w:basedOn w:val="Normal"/>
    <w:link w:val="Heading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Heading5">
    <w:name w:val="heading 5"/>
    <w:basedOn w:val="Normal"/>
    <w:link w:val="Heading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Heading6">
    <w:name w:val="heading 6"/>
    <w:basedOn w:val="Normal"/>
    <w:link w:val="Heading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5BB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sion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TableGrid">
    <w:name w:val="Table Grid"/>
    <w:basedOn w:val="TableNormal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E0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1BB9"/>
  </w:style>
  <w:style w:type="paragraph" w:styleId="Normal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0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0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DefaultParagraphFont"/>
    <w:rsid w:val="005D1BB9"/>
  </w:style>
  <w:style w:type="character" w:customStyle="1" w:styleId="normalchar1">
    <w:name w:val="normal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DefaultParagraphFont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DefaultParagraphFont"/>
    <w:rsid w:val="005D1BB9"/>
    <w:rPr>
      <w:sz w:val="20"/>
      <w:szCs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DefaultParagraphFont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DefaultParagraphFont"/>
    <w:rsid w:val="005D1BB9"/>
  </w:style>
  <w:style w:type="character" w:customStyle="1" w:styleId="list0020numberchar1">
    <w:name w:val="list_0020numb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DefaultParagraphFont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3F96-516B-40D5-8BAA-3FC60AEC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2772</Words>
  <Characters>16396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Natalija Havidić</cp:lastModifiedBy>
  <cp:revision>4</cp:revision>
  <cp:lastPrinted>2016-02-09T07:23:00Z</cp:lastPrinted>
  <dcterms:created xsi:type="dcterms:W3CDTF">2016-12-02T15:07:00Z</dcterms:created>
  <dcterms:modified xsi:type="dcterms:W3CDTF">2016-12-02T15:08:00Z</dcterms:modified>
</cp:coreProperties>
</file>