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3BEC" w14:textId="77777777" w:rsidR="00955C9F" w:rsidRDefault="00955C9F">
      <w:pPr>
        <w:spacing w:after="218"/>
        <w:ind w:left="0" w:right="90" w:firstLine="0"/>
        <w:jc w:val="center"/>
      </w:pPr>
    </w:p>
    <w:p w14:paraId="0FBD9B28" w14:textId="77777777" w:rsidR="00514278" w:rsidRPr="000020FC" w:rsidRDefault="00514278" w:rsidP="00514278">
      <w:pPr>
        <w:jc w:val="both"/>
        <w:rPr>
          <w:rFonts w:ascii="Segoe UI Light" w:hAnsi="Segoe UI Light"/>
          <w:sz w:val="24"/>
          <w:szCs w:val="24"/>
        </w:rPr>
      </w:pPr>
      <w:r w:rsidRPr="000020FC">
        <w:rPr>
          <w:rFonts w:ascii="Segoe UI Light" w:hAnsi="Segoe UI Light"/>
          <w:sz w:val="24"/>
          <w:szCs w:val="24"/>
        </w:rPr>
        <w:t>EVIDENCIJSKI BROJ NABAVE:</w:t>
      </w:r>
      <w:r w:rsidRPr="00E176FC">
        <w:t xml:space="preserve"> </w:t>
      </w:r>
      <w:r w:rsidRPr="00E176FC">
        <w:rPr>
          <w:rFonts w:ascii="Segoe UI Light" w:hAnsi="Segoe UI Light"/>
          <w:sz w:val="24"/>
          <w:szCs w:val="24"/>
        </w:rPr>
        <w:t>/ PROCUREMENT FILE REFERENCE NUMBER</w:t>
      </w:r>
      <w:r>
        <w:rPr>
          <w:rFonts w:ascii="Segoe UI Light" w:hAnsi="Segoe UI Light"/>
          <w:sz w:val="24"/>
          <w:szCs w:val="24"/>
        </w:rPr>
        <w:t>:</w:t>
      </w:r>
    </w:p>
    <w:p w14:paraId="4F5A5FBE" w14:textId="68A9F340" w:rsidR="008873F8" w:rsidRDefault="00514278" w:rsidP="00830530">
      <w:pPr>
        <w:jc w:val="both"/>
        <w:rPr>
          <w:rFonts w:ascii="Segoe UI Light" w:hAnsi="Segoe UI Light"/>
          <w:sz w:val="24"/>
          <w:szCs w:val="24"/>
        </w:rPr>
      </w:pPr>
      <w:r>
        <w:rPr>
          <w:rFonts w:ascii="Segoe UI Light" w:hAnsi="Segoe UI Light"/>
          <w:sz w:val="24"/>
          <w:szCs w:val="24"/>
        </w:rPr>
        <w:t>IR</w:t>
      </w:r>
      <w:r w:rsidRPr="000020FC">
        <w:rPr>
          <w:rFonts w:ascii="Segoe UI Light" w:hAnsi="Segoe UI Light"/>
          <w:sz w:val="24"/>
          <w:szCs w:val="24"/>
        </w:rPr>
        <w:t>-</w:t>
      </w:r>
      <w:r w:rsidR="0072571C">
        <w:rPr>
          <w:rFonts w:ascii="Segoe UI Light" w:hAnsi="Segoe UI Light"/>
          <w:sz w:val="24"/>
          <w:szCs w:val="24"/>
        </w:rPr>
        <w:t>500</w:t>
      </w:r>
      <w:r>
        <w:rPr>
          <w:rFonts w:ascii="Segoe UI Light" w:hAnsi="Segoe UI Light"/>
          <w:sz w:val="24"/>
          <w:szCs w:val="24"/>
        </w:rPr>
        <w:t>-</w:t>
      </w:r>
      <w:r w:rsidR="00716BE0">
        <w:rPr>
          <w:rFonts w:ascii="Segoe UI Light" w:hAnsi="Segoe UI Light"/>
          <w:sz w:val="24"/>
          <w:szCs w:val="24"/>
        </w:rPr>
        <w:t>21</w:t>
      </w:r>
    </w:p>
    <w:p w14:paraId="06D4A507" w14:textId="77777777" w:rsidR="00DE1C49" w:rsidRDefault="00DE1C49" w:rsidP="00830530">
      <w:pPr>
        <w:jc w:val="both"/>
        <w:rPr>
          <w:rFonts w:ascii="Segoe UI Light" w:hAnsi="Segoe UI Light"/>
        </w:rPr>
      </w:pPr>
    </w:p>
    <w:p w14:paraId="3C07D0FB" w14:textId="19AE1E8C" w:rsidR="00830530" w:rsidRPr="00F77756" w:rsidRDefault="00B22215" w:rsidP="00830530">
      <w:pPr>
        <w:jc w:val="both"/>
        <w:rPr>
          <w:rFonts w:ascii="Segoe UI Light" w:hAnsi="Segoe UI Light"/>
          <w:sz w:val="24"/>
          <w:szCs w:val="24"/>
        </w:rPr>
      </w:pPr>
      <w:r>
        <w:rPr>
          <w:rFonts w:ascii="Segoe UI Light" w:hAnsi="Segoe UI Light"/>
          <w:sz w:val="24"/>
          <w:szCs w:val="24"/>
        </w:rPr>
        <w:t>21</w:t>
      </w:r>
      <w:r w:rsidR="00830530">
        <w:rPr>
          <w:rFonts w:ascii="Segoe UI Light" w:hAnsi="Segoe UI Light"/>
          <w:sz w:val="24"/>
          <w:szCs w:val="24"/>
        </w:rPr>
        <w:t>.</w:t>
      </w:r>
      <w:r>
        <w:rPr>
          <w:rFonts w:ascii="Segoe UI Light" w:hAnsi="Segoe UI Light"/>
          <w:sz w:val="24"/>
          <w:szCs w:val="24"/>
        </w:rPr>
        <w:t>9</w:t>
      </w:r>
      <w:r w:rsidR="00830530" w:rsidRPr="00F77756">
        <w:rPr>
          <w:rFonts w:ascii="Segoe UI Light" w:hAnsi="Segoe UI Light"/>
          <w:sz w:val="24"/>
          <w:szCs w:val="24"/>
        </w:rPr>
        <w:t>.202</w:t>
      </w:r>
      <w:r>
        <w:rPr>
          <w:rFonts w:ascii="Segoe UI Light" w:hAnsi="Segoe UI Light"/>
          <w:sz w:val="24"/>
          <w:szCs w:val="24"/>
        </w:rPr>
        <w:t>3</w:t>
      </w:r>
      <w:r w:rsidR="00830530" w:rsidRPr="00F77756">
        <w:rPr>
          <w:rFonts w:ascii="Segoe UI Light" w:hAnsi="Segoe UI Light"/>
          <w:sz w:val="24"/>
          <w:szCs w:val="24"/>
        </w:rPr>
        <w:t>.</w:t>
      </w:r>
    </w:p>
    <w:p w14:paraId="12E9114A" w14:textId="77777777" w:rsidR="00830530" w:rsidRPr="002608D3" w:rsidRDefault="00830530" w:rsidP="00830530">
      <w:pPr>
        <w:ind w:left="6237"/>
        <w:rPr>
          <w:sz w:val="24"/>
          <w:szCs w:val="24"/>
        </w:rPr>
      </w:pPr>
      <w:r>
        <w:rPr>
          <w:sz w:val="24"/>
          <w:szCs w:val="24"/>
        </w:rPr>
        <w:t>SVIM ZAINTERESIRANIM GOSP</w:t>
      </w:r>
      <w:r w:rsidRPr="002608D3">
        <w:rPr>
          <w:sz w:val="24"/>
          <w:szCs w:val="24"/>
        </w:rPr>
        <w:t>O</w:t>
      </w:r>
      <w:r>
        <w:rPr>
          <w:sz w:val="24"/>
          <w:szCs w:val="24"/>
        </w:rPr>
        <w:t>D</w:t>
      </w:r>
      <w:r w:rsidRPr="002608D3">
        <w:rPr>
          <w:sz w:val="24"/>
          <w:szCs w:val="24"/>
        </w:rPr>
        <w:t>ARSKIM SUBJEKTIMA</w:t>
      </w:r>
    </w:p>
    <w:p w14:paraId="55B85A43" w14:textId="77777777" w:rsidR="00514278" w:rsidRPr="000A2A65" w:rsidRDefault="00514278" w:rsidP="00514278">
      <w:pPr>
        <w:ind w:left="6237"/>
        <w:rPr>
          <w:i/>
          <w:sz w:val="24"/>
          <w:szCs w:val="24"/>
        </w:rPr>
      </w:pPr>
      <w:r w:rsidRPr="000A2A65">
        <w:rPr>
          <w:i/>
          <w:sz w:val="24"/>
          <w:szCs w:val="24"/>
        </w:rPr>
        <w:t>TO ALL INTERESTED ECONOMIC OPERATORS</w:t>
      </w:r>
    </w:p>
    <w:p w14:paraId="1823299C" w14:textId="77777777" w:rsidR="00830530" w:rsidRPr="002608D3" w:rsidRDefault="00830530" w:rsidP="00830530">
      <w:pPr>
        <w:jc w:val="both"/>
        <w:rPr>
          <w:sz w:val="24"/>
          <w:szCs w:val="24"/>
        </w:rPr>
      </w:pPr>
    </w:p>
    <w:p w14:paraId="17FFFA80" w14:textId="0BD961E5" w:rsidR="00830530" w:rsidRDefault="00830530" w:rsidP="00830530">
      <w:pPr>
        <w:rPr>
          <w:b/>
          <w:sz w:val="24"/>
          <w:szCs w:val="24"/>
        </w:rPr>
      </w:pPr>
      <w:r w:rsidRPr="002608D3">
        <w:rPr>
          <w:b/>
          <w:sz w:val="24"/>
          <w:szCs w:val="24"/>
        </w:rPr>
        <w:t xml:space="preserve">Predmet: </w:t>
      </w:r>
      <w:r w:rsidR="00514278">
        <w:rPr>
          <w:b/>
          <w:sz w:val="24"/>
          <w:szCs w:val="24"/>
        </w:rPr>
        <w:tab/>
      </w:r>
      <w:r w:rsidRPr="002608D3">
        <w:rPr>
          <w:b/>
          <w:sz w:val="24"/>
          <w:szCs w:val="24"/>
        </w:rPr>
        <w:t xml:space="preserve">I. Pojašnjenje </w:t>
      </w:r>
      <w:r w:rsidR="0002026F">
        <w:rPr>
          <w:b/>
          <w:sz w:val="24"/>
          <w:szCs w:val="24"/>
        </w:rPr>
        <w:t>Dokumentacije za nadmetanje</w:t>
      </w:r>
    </w:p>
    <w:p w14:paraId="1B356D49" w14:textId="196DBC0C" w:rsidR="00514278" w:rsidRPr="002608D3" w:rsidRDefault="00514278" w:rsidP="00830530">
      <w:pPr>
        <w:rPr>
          <w:b/>
          <w:sz w:val="24"/>
          <w:szCs w:val="24"/>
        </w:rPr>
      </w:pPr>
      <w:proofErr w:type="spellStart"/>
      <w:r>
        <w:rPr>
          <w:b/>
          <w:sz w:val="24"/>
          <w:szCs w:val="24"/>
        </w:rPr>
        <w:t>Subject</w:t>
      </w:r>
      <w:proofErr w:type="spellEnd"/>
      <w:r>
        <w:rPr>
          <w:b/>
          <w:sz w:val="24"/>
          <w:szCs w:val="24"/>
        </w:rPr>
        <w:t>:</w:t>
      </w:r>
      <w:r>
        <w:rPr>
          <w:b/>
          <w:sz w:val="24"/>
          <w:szCs w:val="24"/>
        </w:rPr>
        <w:tab/>
      </w:r>
      <w:proofErr w:type="spellStart"/>
      <w:r>
        <w:rPr>
          <w:b/>
          <w:sz w:val="24"/>
          <w:szCs w:val="24"/>
        </w:rPr>
        <w:t>Clarification</w:t>
      </w:r>
      <w:proofErr w:type="spellEnd"/>
      <w:r>
        <w:rPr>
          <w:b/>
          <w:sz w:val="24"/>
          <w:szCs w:val="24"/>
        </w:rPr>
        <w:t xml:space="preserve"> </w:t>
      </w:r>
      <w:proofErr w:type="spellStart"/>
      <w:r>
        <w:rPr>
          <w:b/>
          <w:sz w:val="24"/>
          <w:szCs w:val="24"/>
        </w:rPr>
        <w:t>of</w:t>
      </w:r>
      <w:proofErr w:type="spellEnd"/>
      <w:r>
        <w:rPr>
          <w:b/>
          <w:sz w:val="24"/>
          <w:szCs w:val="24"/>
        </w:rPr>
        <w:t xml:space="preserve"> </w:t>
      </w:r>
      <w:r w:rsidR="0002026F">
        <w:rPr>
          <w:b/>
          <w:sz w:val="24"/>
          <w:szCs w:val="24"/>
        </w:rPr>
        <w:t>Tender Documentation</w:t>
      </w:r>
      <w:r>
        <w:rPr>
          <w:b/>
          <w:sz w:val="24"/>
          <w:szCs w:val="24"/>
        </w:rPr>
        <w:t xml:space="preserve"> No. 1</w:t>
      </w:r>
    </w:p>
    <w:p w14:paraId="5239B626" w14:textId="77777777" w:rsidR="00830530" w:rsidRPr="002608D3" w:rsidRDefault="00830530" w:rsidP="00830530">
      <w:pPr>
        <w:jc w:val="center"/>
        <w:rPr>
          <w:b/>
          <w:sz w:val="24"/>
          <w:szCs w:val="24"/>
        </w:rPr>
      </w:pPr>
    </w:p>
    <w:p w14:paraId="26826CFE" w14:textId="3746D82A" w:rsidR="00830530" w:rsidRDefault="00830530" w:rsidP="00716BE0">
      <w:pPr>
        <w:jc w:val="both"/>
        <w:rPr>
          <w:sz w:val="24"/>
          <w:szCs w:val="24"/>
        </w:rPr>
      </w:pPr>
      <w:r>
        <w:rPr>
          <w:sz w:val="24"/>
          <w:szCs w:val="24"/>
        </w:rPr>
        <w:t>U postupku nabave „</w:t>
      </w:r>
      <w:r w:rsidR="00716BE0" w:rsidRPr="00716BE0">
        <w:rPr>
          <w:sz w:val="24"/>
          <w:szCs w:val="24"/>
        </w:rPr>
        <w:t>Dodatni materijal za zavarivanje 1</w:t>
      </w:r>
      <w:r w:rsidR="00514278">
        <w:rPr>
          <w:sz w:val="24"/>
          <w:szCs w:val="24"/>
        </w:rPr>
        <w:t>“</w:t>
      </w:r>
      <w:r w:rsidR="00716BE0">
        <w:rPr>
          <w:sz w:val="24"/>
          <w:szCs w:val="24"/>
        </w:rPr>
        <w:t>, nastavno na upite gospodarskih subjekata</w:t>
      </w:r>
      <w:r>
        <w:rPr>
          <w:sz w:val="24"/>
          <w:szCs w:val="24"/>
        </w:rPr>
        <w:t xml:space="preserve"> dostavljamo pojašnjenja </w:t>
      </w:r>
      <w:r w:rsidR="00514278">
        <w:rPr>
          <w:sz w:val="24"/>
          <w:szCs w:val="24"/>
        </w:rPr>
        <w:t>i izmjene</w:t>
      </w:r>
      <w:r w:rsidR="008873F8">
        <w:rPr>
          <w:sz w:val="24"/>
          <w:szCs w:val="24"/>
        </w:rPr>
        <w:t xml:space="preserve"> </w:t>
      </w:r>
      <w:r>
        <w:rPr>
          <w:sz w:val="24"/>
          <w:szCs w:val="24"/>
        </w:rPr>
        <w:t xml:space="preserve">kako slijedi. </w:t>
      </w:r>
      <w:r w:rsidR="004A1BC5">
        <w:rPr>
          <w:sz w:val="24"/>
          <w:szCs w:val="24"/>
        </w:rPr>
        <w:t>/</w:t>
      </w:r>
    </w:p>
    <w:p w14:paraId="5764AE2D" w14:textId="4DFCE3C9" w:rsidR="00514278" w:rsidRPr="00514278" w:rsidRDefault="00514278" w:rsidP="00DE1C49">
      <w:pPr>
        <w:jc w:val="both"/>
        <w:rPr>
          <w:i/>
          <w:sz w:val="24"/>
          <w:szCs w:val="24"/>
          <w:lang w:val="en-US"/>
        </w:rPr>
      </w:pPr>
      <w:r w:rsidRPr="00514278">
        <w:rPr>
          <w:i/>
          <w:sz w:val="24"/>
          <w:szCs w:val="24"/>
          <w:lang w:val="en-US"/>
        </w:rPr>
        <w:t xml:space="preserve">In the procurement process </w:t>
      </w:r>
      <w:proofErr w:type="gramStart"/>
      <w:r w:rsidRPr="00514278">
        <w:rPr>
          <w:i/>
          <w:sz w:val="24"/>
          <w:szCs w:val="24"/>
          <w:lang w:val="en-US"/>
        </w:rPr>
        <w:t>"</w:t>
      </w:r>
      <w:r w:rsidR="00716BE0" w:rsidRPr="00716BE0">
        <w:t xml:space="preserve"> </w:t>
      </w:r>
      <w:proofErr w:type="spellStart"/>
      <w:r w:rsidR="00716BE0" w:rsidRPr="00716BE0">
        <w:rPr>
          <w:sz w:val="24"/>
          <w:szCs w:val="24"/>
        </w:rPr>
        <w:t>Additional</w:t>
      </w:r>
      <w:proofErr w:type="spellEnd"/>
      <w:proofErr w:type="gramEnd"/>
      <w:r w:rsidR="00716BE0" w:rsidRPr="00716BE0">
        <w:rPr>
          <w:sz w:val="24"/>
          <w:szCs w:val="24"/>
        </w:rPr>
        <w:t xml:space="preserve"> </w:t>
      </w:r>
      <w:proofErr w:type="spellStart"/>
      <w:r w:rsidR="00716BE0" w:rsidRPr="00716BE0">
        <w:rPr>
          <w:sz w:val="24"/>
          <w:szCs w:val="24"/>
        </w:rPr>
        <w:t>welding</w:t>
      </w:r>
      <w:proofErr w:type="spellEnd"/>
      <w:r w:rsidR="00716BE0" w:rsidRPr="00716BE0">
        <w:rPr>
          <w:sz w:val="24"/>
          <w:szCs w:val="24"/>
        </w:rPr>
        <w:t xml:space="preserve"> </w:t>
      </w:r>
      <w:proofErr w:type="spellStart"/>
      <w:r w:rsidR="00716BE0" w:rsidRPr="00716BE0">
        <w:rPr>
          <w:sz w:val="24"/>
          <w:szCs w:val="24"/>
        </w:rPr>
        <w:t>material</w:t>
      </w:r>
      <w:proofErr w:type="spellEnd"/>
      <w:r w:rsidR="00716BE0" w:rsidRPr="00716BE0">
        <w:rPr>
          <w:sz w:val="24"/>
          <w:szCs w:val="24"/>
        </w:rPr>
        <w:t xml:space="preserve"> 1</w:t>
      </w:r>
      <w:r w:rsidRPr="00514278">
        <w:rPr>
          <w:i/>
          <w:sz w:val="24"/>
          <w:szCs w:val="24"/>
          <w:lang w:val="en-US"/>
        </w:rPr>
        <w:t xml:space="preserve">" </w:t>
      </w:r>
      <w:r w:rsidR="00716BE0">
        <w:rPr>
          <w:i/>
          <w:sz w:val="24"/>
          <w:szCs w:val="24"/>
          <w:lang w:val="en-US"/>
        </w:rPr>
        <w:t>following the</w:t>
      </w:r>
      <w:r w:rsidR="00716BE0" w:rsidRPr="00716BE0">
        <w:rPr>
          <w:i/>
          <w:sz w:val="24"/>
          <w:szCs w:val="24"/>
          <w:lang w:val="en-US"/>
        </w:rPr>
        <w:t xml:space="preserve"> inquiries from economic entities </w:t>
      </w:r>
      <w:r w:rsidRPr="00514278">
        <w:rPr>
          <w:i/>
          <w:sz w:val="24"/>
          <w:szCs w:val="24"/>
          <w:lang w:val="en-US"/>
        </w:rPr>
        <w:t>we provide clarifications and amendments as follows.</w:t>
      </w:r>
    </w:p>
    <w:p w14:paraId="749C255C" w14:textId="77777777" w:rsidR="00830530" w:rsidRDefault="00830530" w:rsidP="00830530">
      <w:pPr>
        <w:jc w:val="both"/>
        <w:rPr>
          <w:sz w:val="24"/>
          <w:szCs w:val="24"/>
        </w:rPr>
      </w:pPr>
    </w:p>
    <w:p w14:paraId="100B3B5D" w14:textId="4FC0ECBC" w:rsidR="00716BE0" w:rsidRPr="00716BE0" w:rsidRDefault="00716BE0" w:rsidP="00830530">
      <w:pPr>
        <w:jc w:val="both"/>
        <w:rPr>
          <w:b/>
          <w:sz w:val="24"/>
          <w:szCs w:val="24"/>
        </w:rPr>
      </w:pPr>
      <w:r w:rsidRPr="00716BE0">
        <w:rPr>
          <w:b/>
          <w:sz w:val="24"/>
          <w:szCs w:val="24"/>
        </w:rPr>
        <w:t>Pitanje:</w:t>
      </w:r>
    </w:p>
    <w:p w14:paraId="19F10E5E" w14:textId="77777777" w:rsidR="00716BE0" w:rsidRDefault="00716BE0" w:rsidP="00830530">
      <w:pPr>
        <w:jc w:val="both"/>
        <w:rPr>
          <w:sz w:val="24"/>
          <w:szCs w:val="24"/>
        </w:rPr>
      </w:pPr>
    </w:p>
    <w:p w14:paraId="42D0DF49" w14:textId="739EB0C9" w:rsidR="00716BE0" w:rsidRPr="00716BE0" w:rsidRDefault="00716BE0" w:rsidP="00716BE0">
      <w:pPr>
        <w:pStyle w:val="Odlomakpopisa"/>
        <w:numPr>
          <w:ilvl w:val="0"/>
          <w:numId w:val="3"/>
        </w:numPr>
        <w:ind w:left="0" w:hanging="284"/>
        <w:jc w:val="both"/>
        <w:rPr>
          <w:sz w:val="24"/>
          <w:szCs w:val="24"/>
        </w:rPr>
      </w:pPr>
      <w:r w:rsidRPr="00716BE0">
        <w:rPr>
          <w:sz w:val="24"/>
          <w:szCs w:val="24"/>
        </w:rPr>
        <w:t xml:space="preserve">Pod rednim brojem 2. Troškovnika navedena je puna žica za zavarivanje </w:t>
      </w:r>
      <w:proofErr w:type="spellStart"/>
      <w:r w:rsidRPr="00716BE0">
        <w:rPr>
          <w:sz w:val="24"/>
          <w:szCs w:val="24"/>
        </w:rPr>
        <w:t>duplexa</w:t>
      </w:r>
      <w:proofErr w:type="spellEnd"/>
      <w:r w:rsidRPr="00716BE0">
        <w:rPr>
          <w:sz w:val="24"/>
          <w:szCs w:val="24"/>
        </w:rPr>
        <w:t xml:space="preserve"> u promjeru 2.0 mm.</w:t>
      </w:r>
    </w:p>
    <w:p w14:paraId="6212DC31" w14:textId="77777777" w:rsidR="00716BE0" w:rsidRPr="00716BE0" w:rsidRDefault="00716BE0" w:rsidP="00716BE0">
      <w:pPr>
        <w:jc w:val="both"/>
        <w:rPr>
          <w:sz w:val="24"/>
          <w:szCs w:val="24"/>
        </w:rPr>
      </w:pPr>
      <w:r w:rsidRPr="00716BE0">
        <w:rPr>
          <w:sz w:val="24"/>
          <w:szCs w:val="24"/>
        </w:rPr>
        <w:t xml:space="preserve">Puna žica za MIG/MAG zavarivanje </w:t>
      </w:r>
      <w:proofErr w:type="spellStart"/>
      <w:r w:rsidRPr="00716BE0">
        <w:rPr>
          <w:sz w:val="24"/>
          <w:szCs w:val="24"/>
        </w:rPr>
        <w:t>duplexa</w:t>
      </w:r>
      <w:proofErr w:type="spellEnd"/>
      <w:r w:rsidRPr="00716BE0">
        <w:rPr>
          <w:sz w:val="24"/>
          <w:szCs w:val="24"/>
        </w:rPr>
        <w:t xml:space="preserve"> ne proizvodi se (ne postoji) u promjeru 2.0mm. Najveći promjer pune žice za zavarivanje </w:t>
      </w:r>
      <w:proofErr w:type="spellStart"/>
      <w:r w:rsidRPr="00716BE0">
        <w:rPr>
          <w:sz w:val="24"/>
          <w:szCs w:val="24"/>
        </w:rPr>
        <w:t>duplexa</w:t>
      </w:r>
      <w:proofErr w:type="spellEnd"/>
      <w:r w:rsidRPr="00716BE0">
        <w:rPr>
          <w:sz w:val="24"/>
          <w:szCs w:val="24"/>
        </w:rPr>
        <w:t xml:space="preserve"> postupkom MIG/MAG iznosi 1.6 mm.</w:t>
      </w:r>
    </w:p>
    <w:p w14:paraId="064E9C77" w14:textId="77777777" w:rsidR="00716BE0" w:rsidRPr="00716BE0" w:rsidRDefault="00716BE0" w:rsidP="00716BE0">
      <w:pPr>
        <w:jc w:val="both"/>
        <w:rPr>
          <w:sz w:val="24"/>
          <w:szCs w:val="24"/>
        </w:rPr>
      </w:pPr>
      <w:r w:rsidRPr="00716BE0">
        <w:rPr>
          <w:sz w:val="24"/>
          <w:szCs w:val="24"/>
        </w:rPr>
        <w:t xml:space="preserve">Puna žica za zavarivanje </w:t>
      </w:r>
      <w:proofErr w:type="spellStart"/>
      <w:r w:rsidRPr="00716BE0">
        <w:rPr>
          <w:sz w:val="24"/>
          <w:szCs w:val="24"/>
        </w:rPr>
        <w:t>duplexa</w:t>
      </w:r>
      <w:proofErr w:type="spellEnd"/>
      <w:r w:rsidRPr="00716BE0">
        <w:rPr>
          <w:sz w:val="24"/>
          <w:szCs w:val="24"/>
        </w:rPr>
        <w:t xml:space="preserve"> u promjeru 2.0 mm postoji za TIG i EPP postupak zavarivanja, ali ne i za MIG/MAG kao što Vi prema troškovniku tražite.</w:t>
      </w:r>
    </w:p>
    <w:p w14:paraId="5C348DDE" w14:textId="77777777" w:rsidR="00716BE0" w:rsidRPr="00716BE0" w:rsidRDefault="00716BE0" w:rsidP="00716BE0">
      <w:pPr>
        <w:jc w:val="both"/>
        <w:rPr>
          <w:sz w:val="24"/>
          <w:szCs w:val="24"/>
        </w:rPr>
      </w:pPr>
      <w:r w:rsidRPr="00716BE0">
        <w:rPr>
          <w:sz w:val="24"/>
          <w:szCs w:val="24"/>
        </w:rPr>
        <w:t>Žica (šipka) za TIG postupak zavarivanja: 2.0 mm x 1000 mm</w:t>
      </w:r>
    </w:p>
    <w:p w14:paraId="673362A6" w14:textId="77777777" w:rsidR="00716BE0" w:rsidRPr="00716BE0" w:rsidRDefault="00716BE0" w:rsidP="00716BE0">
      <w:pPr>
        <w:jc w:val="both"/>
        <w:rPr>
          <w:sz w:val="24"/>
          <w:szCs w:val="24"/>
        </w:rPr>
      </w:pPr>
      <w:r w:rsidRPr="00716BE0">
        <w:rPr>
          <w:sz w:val="24"/>
          <w:szCs w:val="24"/>
        </w:rPr>
        <w:t>Žica za EPP postupak zavarivanja: promjer 2.0 mm – težina koluta 25 kg</w:t>
      </w:r>
    </w:p>
    <w:p w14:paraId="1FF41DEB" w14:textId="381B3BCA" w:rsidR="00BB55C3" w:rsidRDefault="00716BE0" w:rsidP="00716BE0">
      <w:pPr>
        <w:jc w:val="both"/>
        <w:rPr>
          <w:sz w:val="24"/>
          <w:szCs w:val="24"/>
        </w:rPr>
      </w:pPr>
      <w:r w:rsidRPr="00716BE0">
        <w:rPr>
          <w:sz w:val="24"/>
          <w:szCs w:val="24"/>
        </w:rPr>
        <w:t>Molimo potvrdite da li Vam je za promjer 2.0 mm potrebna žica (šipka) za TIG zavarivanje ili žica za EPP zavarivanje?</w:t>
      </w:r>
    </w:p>
    <w:p w14:paraId="07D1775F" w14:textId="77777777" w:rsidR="00716BE0" w:rsidRDefault="00716BE0" w:rsidP="00716BE0">
      <w:pPr>
        <w:jc w:val="both"/>
        <w:rPr>
          <w:sz w:val="24"/>
          <w:szCs w:val="24"/>
        </w:rPr>
      </w:pPr>
    </w:p>
    <w:p w14:paraId="09DD39D4" w14:textId="79A9B94E" w:rsidR="00716BE0" w:rsidRDefault="00716BE0" w:rsidP="00716BE0">
      <w:pPr>
        <w:pStyle w:val="Odlomakpopisa"/>
        <w:numPr>
          <w:ilvl w:val="0"/>
          <w:numId w:val="3"/>
        </w:numPr>
        <w:ind w:left="0" w:hanging="284"/>
        <w:jc w:val="both"/>
        <w:rPr>
          <w:sz w:val="24"/>
          <w:szCs w:val="24"/>
        </w:rPr>
      </w:pPr>
      <w:r w:rsidRPr="00716BE0">
        <w:rPr>
          <w:sz w:val="24"/>
          <w:szCs w:val="24"/>
        </w:rPr>
        <w:t xml:space="preserve">Povezujući se na predmetni natječaj zanima me pod točkom br. 2 da li Vam zaista treba puna žica u kolutu promjera 2,0 mm ili se možda radi o </w:t>
      </w:r>
      <w:proofErr w:type="spellStart"/>
      <w:r w:rsidRPr="00716BE0">
        <w:rPr>
          <w:sz w:val="24"/>
          <w:szCs w:val="24"/>
        </w:rPr>
        <w:t>tig</w:t>
      </w:r>
      <w:proofErr w:type="spellEnd"/>
      <w:r w:rsidRPr="00716BE0">
        <w:rPr>
          <w:sz w:val="24"/>
          <w:szCs w:val="24"/>
        </w:rPr>
        <w:t xml:space="preserve"> žici istih karakteristika koja dolazi u šipkama od 1 m?</w:t>
      </w:r>
      <w:r>
        <w:rPr>
          <w:sz w:val="24"/>
          <w:szCs w:val="24"/>
        </w:rPr>
        <w:t>“</w:t>
      </w:r>
    </w:p>
    <w:p w14:paraId="7F36D5E0" w14:textId="77777777" w:rsidR="00716BE0" w:rsidRDefault="00716BE0" w:rsidP="00716BE0">
      <w:pPr>
        <w:pStyle w:val="Odlomakpopisa"/>
        <w:ind w:left="0"/>
        <w:jc w:val="both"/>
        <w:rPr>
          <w:sz w:val="24"/>
          <w:szCs w:val="24"/>
        </w:rPr>
      </w:pPr>
    </w:p>
    <w:p w14:paraId="0452506A" w14:textId="64E39725" w:rsidR="00716BE0" w:rsidRPr="004A2677" w:rsidRDefault="00716BE0" w:rsidP="00716BE0">
      <w:pPr>
        <w:pStyle w:val="Odlomakpopisa"/>
        <w:ind w:left="0"/>
        <w:jc w:val="both"/>
        <w:rPr>
          <w:b/>
          <w:sz w:val="24"/>
          <w:szCs w:val="24"/>
        </w:rPr>
      </w:pPr>
      <w:r w:rsidRPr="004A2677">
        <w:rPr>
          <w:b/>
          <w:sz w:val="24"/>
          <w:szCs w:val="24"/>
        </w:rPr>
        <w:t>Odgovor na oba pitanja:</w:t>
      </w:r>
    </w:p>
    <w:p w14:paraId="0A2A5FD4" w14:textId="2C4E7934" w:rsidR="00716BE0" w:rsidRPr="00716BE0" w:rsidRDefault="00716BE0" w:rsidP="00716BE0">
      <w:pPr>
        <w:pStyle w:val="Odlomakpopisa"/>
        <w:ind w:left="0"/>
        <w:jc w:val="both"/>
        <w:rPr>
          <w:sz w:val="24"/>
          <w:szCs w:val="24"/>
        </w:rPr>
      </w:pPr>
      <w:r>
        <w:rPr>
          <w:sz w:val="24"/>
          <w:szCs w:val="24"/>
        </w:rPr>
        <w:lastRenderedPageBreak/>
        <w:t>U Troškov</w:t>
      </w:r>
      <w:r w:rsidR="004A2677">
        <w:rPr>
          <w:sz w:val="24"/>
          <w:szCs w:val="24"/>
        </w:rPr>
        <w:t>niku</w:t>
      </w:r>
      <w:r>
        <w:rPr>
          <w:sz w:val="24"/>
          <w:szCs w:val="24"/>
        </w:rPr>
        <w:t xml:space="preserve"> pod stavkom 2 potrebna nam je žica u kolutu za lasersko zavarivanje, promjer 2.0 mm. </w:t>
      </w:r>
      <w:r w:rsidR="004A2677">
        <w:rPr>
          <w:sz w:val="24"/>
          <w:szCs w:val="24"/>
        </w:rPr>
        <w:t>Ispravlja se prilog II Troškovnik. Ispravak je označen crvenom. Ponuditelji trebaju koristiti zadnju verziju Troškovnika.</w:t>
      </w:r>
    </w:p>
    <w:p w14:paraId="1079E55C" w14:textId="70965AF9" w:rsidR="004A1BC5" w:rsidRDefault="004A1BC5" w:rsidP="004A1BC5">
      <w:pPr>
        <w:ind w:left="0" w:firstLine="0"/>
        <w:jc w:val="both"/>
        <w:rPr>
          <w:sz w:val="24"/>
          <w:szCs w:val="24"/>
        </w:rPr>
      </w:pPr>
      <w:r>
        <w:rPr>
          <w:sz w:val="24"/>
          <w:szCs w:val="24"/>
        </w:rPr>
        <w:t>/</w:t>
      </w:r>
    </w:p>
    <w:p w14:paraId="4298C83D" w14:textId="577BDCAC" w:rsidR="00D70724" w:rsidRPr="00D70724" w:rsidRDefault="00D70724" w:rsidP="00D70724">
      <w:pPr>
        <w:ind w:left="0" w:firstLine="0"/>
        <w:jc w:val="both"/>
        <w:rPr>
          <w:sz w:val="24"/>
          <w:szCs w:val="24"/>
          <w:lang w:val="en-US"/>
        </w:rPr>
      </w:pPr>
      <w:r w:rsidRPr="00D70724">
        <w:rPr>
          <w:sz w:val="24"/>
          <w:szCs w:val="24"/>
          <w:lang w:val="en-US"/>
        </w:rPr>
        <w:t xml:space="preserve">The delivery parity in point 2.6 of the Tender Documentation and in Annex II Cost </w:t>
      </w:r>
      <w:r>
        <w:rPr>
          <w:sz w:val="24"/>
          <w:szCs w:val="24"/>
          <w:lang w:val="en-US"/>
        </w:rPr>
        <w:t>S</w:t>
      </w:r>
      <w:r w:rsidRPr="00D70724">
        <w:rPr>
          <w:sz w:val="24"/>
          <w:szCs w:val="24"/>
          <w:lang w:val="en-US"/>
        </w:rPr>
        <w:t>heet is corrected. The possibility of CIF delivery to the port of Rijeka is deleted, leaving only DAP Split.</w:t>
      </w:r>
    </w:p>
    <w:p w14:paraId="136D60A7" w14:textId="37310D4E" w:rsidR="005B6A56" w:rsidRPr="00D70724" w:rsidRDefault="00D70724" w:rsidP="00D70724">
      <w:pPr>
        <w:ind w:left="0" w:firstLine="0"/>
        <w:jc w:val="both"/>
        <w:rPr>
          <w:i/>
          <w:sz w:val="24"/>
          <w:szCs w:val="24"/>
          <w:lang w:val="en-US"/>
        </w:rPr>
      </w:pPr>
      <w:r w:rsidRPr="00D70724">
        <w:rPr>
          <w:sz w:val="24"/>
          <w:szCs w:val="24"/>
          <w:lang w:val="en-US"/>
        </w:rPr>
        <w:t xml:space="preserve">Also, in </w:t>
      </w:r>
      <w:r>
        <w:rPr>
          <w:sz w:val="24"/>
          <w:szCs w:val="24"/>
          <w:lang w:val="en-US"/>
        </w:rPr>
        <w:t>Annex</w:t>
      </w:r>
      <w:r w:rsidRPr="00D70724">
        <w:rPr>
          <w:sz w:val="24"/>
          <w:szCs w:val="24"/>
          <w:lang w:val="en-US"/>
        </w:rPr>
        <w:t xml:space="preserve"> II Cost Sheet, the</w:t>
      </w:r>
      <w:r>
        <w:rPr>
          <w:sz w:val="24"/>
          <w:szCs w:val="24"/>
          <w:lang w:val="en-US"/>
        </w:rPr>
        <w:t xml:space="preserve"> o</w:t>
      </w:r>
      <w:r w:rsidRPr="00D70724">
        <w:rPr>
          <w:sz w:val="24"/>
          <w:szCs w:val="24"/>
          <w:lang w:val="en-US"/>
        </w:rPr>
        <w:t>mi</w:t>
      </w:r>
      <w:r>
        <w:rPr>
          <w:sz w:val="24"/>
          <w:szCs w:val="24"/>
          <w:lang w:val="en-US"/>
        </w:rPr>
        <w:t>t</w:t>
      </w:r>
      <w:r w:rsidRPr="00D70724">
        <w:rPr>
          <w:sz w:val="24"/>
          <w:szCs w:val="24"/>
          <w:lang w:val="en-US"/>
        </w:rPr>
        <w:t xml:space="preserve">ted condition of plant assembly and handover at the location of </w:t>
      </w:r>
      <w:proofErr w:type="spellStart"/>
      <w:r w:rsidRPr="00D70724">
        <w:rPr>
          <w:sz w:val="24"/>
          <w:szCs w:val="24"/>
          <w:lang w:val="en-US"/>
        </w:rPr>
        <w:t>Brodograđevna</w:t>
      </w:r>
      <w:proofErr w:type="spellEnd"/>
      <w:r w:rsidRPr="00D70724">
        <w:rPr>
          <w:sz w:val="24"/>
          <w:szCs w:val="24"/>
          <w:lang w:val="en-US"/>
        </w:rPr>
        <w:t xml:space="preserve"> </w:t>
      </w:r>
      <w:proofErr w:type="spellStart"/>
      <w:r w:rsidRPr="00D70724">
        <w:rPr>
          <w:sz w:val="24"/>
          <w:szCs w:val="24"/>
          <w:lang w:val="en-US"/>
        </w:rPr>
        <w:t>industrija</w:t>
      </w:r>
      <w:proofErr w:type="spellEnd"/>
      <w:r w:rsidRPr="00D70724">
        <w:rPr>
          <w:sz w:val="24"/>
          <w:szCs w:val="24"/>
          <w:lang w:val="en-US"/>
        </w:rPr>
        <w:t xml:space="preserve"> Split </w:t>
      </w:r>
      <w:proofErr w:type="spellStart"/>
      <w:proofErr w:type="gramStart"/>
      <w:r w:rsidRPr="00D70724">
        <w:rPr>
          <w:sz w:val="24"/>
          <w:szCs w:val="24"/>
          <w:lang w:val="en-US"/>
        </w:rPr>
        <w:t>d.d</w:t>
      </w:r>
      <w:proofErr w:type="spellEnd"/>
      <w:proofErr w:type="gramEnd"/>
      <w:r w:rsidRPr="00D70724">
        <w:rPr>
          <w:sz w:val="24"/>
          <w:szCs w:val="24"/>
          <w:lang w:val="en-US"/>
        </w:rPr>
        <w:t xml:space="preserve">., Put </w:t>
      </w:r>
      <w:proofErr w:type="spellStart"/>
      <w:r w:rsidRPr="00D70724">
        <w:rPr>
          <w:sz w:val="24"/>
          <w:szCs w:val="24"/>
          <w:lang w:val="en-US"/>
        </w:rPr>
        <w:t>Supavla</w:t>
      </w:r>
      <w:proofErr w:type="spellEnd"/>
      <w:r w:rsidRPr="00D70724">
        <w:rPr>
          <w:sz w:val="24"/>
          <w:szCs w:val="24"/>
          <w:lang w:val="en-US"/>
        </w:rPr>
        <w:t xml:space="preserve"> 21, Split, Croatia, is added.</w:t>
      </w:r>
    </w:p>
    <w:p w14:paraId="30B6D1AB" w14:textId="77777777" w:rsidR="004A1BC5" w:rsidRDefault="004A1BC5" w:rsidP="00830530">
      <w:pPr>
        <w:jc w:val="both"/>
        <w:rPr>
          <w:b/>
          <w:sz w:val="24"/>
          <w:szCs w:val="24"/>
        </w:rPr>
      </w:pPr>
    </w:p>
    <w:p w14:paraId="2570B344" w14:textId="6F99F7B0" w:rsidR="004A2677" w:rsidRPr="004A2677" w:rsidRDefault="004A2677" w:rsidP="00830530">
      <w:pPr>
        <w:jc w:val="both"/>
        <w:rPr>
          <w:b/>
          <w:sz w:val="24"/>
          <w:szCs w:val="24"/>
          <w:lang w:val="en-US"/>
        </w:rPr>
      </w:pPr>
      <w:r w:rsidRPr="004A2677">
        <w:rPr>
          <w:b/>
          <w:sz w:val="24"/>
          <w:szCs w:val="24"/>
          <w:lang w:val="en-US"/>
        </w:rPr>
        <w:t>Questions:</w:t>
      </w:r>
    </w:p>
    <w:p w14:paraId="3C890E73" w14:textId="00C01FCA" w:rsidR="004A2677" w:rsidRPr="004A2677" w:rsidRDefault="004A2677" w:rsidP="004A2677">
      <w:pPr>
        <w:jc w:val="both"/>
        <w:rPr>
          <w:sz w:val="24"/>
          <w:szCs w:val="24"/>
          <w:lang w:val="en-US"/>
        </w:rPr>
      </w:pPr>
      <w:r w:rsidRPr="004A2677">
        <w:rPr>
          <w:sz w:val="24"/>
          <w:szCs w:val="24"/>
          <w:lang w:val="en-US"/>
        </w:rPr>
        <w:t>1. Full wire for duplex welding with a diameter of 2.0 mm is specified under number 2 of the cost sheet.</w:t>
      </w:r>
    </w:p>
    <w:p w14:paraId="70FC1450" w14:textId="77777777" w:rsidR="004A2677" w:rsidRPr="004A2677" w:rsidRDefault="004A2677" w:rsidP="004A2677">
      <w:pPr>
        <w:jc w:val="both"/>
        <w:rPr>
          <w:sz w:val="24"/>
          <w:szCs w:val="24"/>
          <w:lang w:val="en-US"/>
        </w:rPr>
      </w:pPr>
      <w:r w:rsidRPr="004A2677">
        <w:rPr>
          <w:sz w:val="24"/>
          <w:szCs w:val="24"/>
          <w:lang w:val="en-US"/>
        </w:rPr>
        <w:t>Solid wire for MIG/MAG duplex welding is not produced (does not exist) in diameter 2.0mm. The largest diameter of solid wire for duplex welding by the MIG/MAG process is 1.6 mm.</w:t>
      </w:r>
    </w:p>
    <w:p w14:paraId="11A4264B" w14:textId="77777777" w:rsidR="004A2677" w:rsidRPr="004A2677" w:rsidRDefault="004A2677" w:rsidP="004A2677">
      <w:pPr>
        <w:jc w:val="both"/>
        <w:rPr>
          <w:sz w:val="24"/>
          <w:szCs w:val="24"/>
          <w:lang w:val="en-US"/>
        </w:rPr>
      </w:pPr>
      <w:r w:rsidRPr="004A2677">
        <w:rPr>
          <w:sz w:val="24"/>
          <w:szCs w:val="24"/>
          <w:lang w:val="en-US"/>
        </w:rPr>
        <w:t>Solid wire for duplex welding with a diameter of 2.0 mm is available for TIG and EPP welding process, but not for MIG/MAG as you are looking for according to the cost sheet.</w:t>
      </w:r>
    </w:p>
    <w:p w14:paraId="615DCE01" w14:textId="77777777" w:rsidR="004A2677" w:rsidRPr="004A2677" w:rsidRDefault="004A2677" w:rsidP="004A2677">
      <w:pPr>
        <w:jc w:val="both"/>
        <w:rPr>
          <w:sz w:val="24"/>
          <w:szCs w:val="24"/>
          <w:lang w:val="en-US"/>
        </w:rPr>
      </w:pPr>
      <w:r w:rsidRPr="004A2677">
        <w:rPr>
          <w:sz w:val="24"/>
          <w:szCs w:val="24"/>
          <w:lang w:val="en-US"/>
        </w:rPr>
        <w:t>Wire (rod) for TIG welding process: 2.0 mm x 1000 mm</w:t>
      </w:r>
    </w:p>
    <w:p w14:paraId="66B4F67F" w14:textId="77777777" w:rsidR="004A2677" w:rsidRPr="004A2677" w:rsidRDefault="004A2677" w:rsidP="004A2677">
      <w:pPr>
        <w:jc w:val="both"/>
        <w:rPr>
          <w:sz w:val="24"/>
          <w:szCs w:val="24"/>
          <w:lang w:val="en-US"/>
        </w:rPr>
      </w:pPr>
      <w:r w:rsidRPr="004A2677">
        <w:rPr>
          <w:sz w:val="24"/>
          <w:szCs w:val="24"/>
          <w:lang w:val="en-US"/>
        </w:rPr>
        <w:t>Wire for EPP welding process: diameter 2.0 mm - reel weight 25 kg</w:t>
      </w:r>
    </w:p>
    <w:p w14:paraId="476142D3" w14:textId="77777777" w:rsidR="004A2677" w:rsidRPr="004A2677" w:rsidRDefault="004A2677" w:rsidP="004A2677">
      <w:pPr>
        <w:jc w:val="both"/>
        <w:rPr>
          <w:sz w:val="24"/>
          <w:szCs w:val="24"/>
          <w:lang w:val="en-US"/>
        </w:rPr>
      </w:pPr>
      <w:r w:rsidRPr="004A2677">
        <w:rPr>
          <w:sz w:val="24"/>
          <w:szCs w:val="24"/>
          <w:lang w:val="en-US"/>
        </w:rPr>
        <w:t>Please confirm whether you need a wire (rod) for TIG welding or a wire for EPP welding for a diameter of 2.0 mm?</w:t>
      </w:r>
    </w:p>
    <w:p w14:paraId="794D6693" w14:textId="77777777" w:rsidR="004A2677" w:rsidRPr="004A2677" w:rsidRDefault="004A2677" w:rsidP="004A2677">
      <w:pPr>
        <w:jc w:val="both"/>
        <w:rPr>
          <w:sz w:val="24"/>
          <w:szCs w:val="24"/>
          <w:lang w:val="en-US"/>
        </w:rPr>
      </w:pPr>
    </w:p>
    <w:p w14:paraId="520B6F26" w14:textId="29651203" w:rsidR="004A2677" w:rsidRPr="004A2677" w:rsidRDefault="004A2677" w:rsidP="004A2677">
      <w:pPr>
        <w:jc w:val="both"/>
        <w:rPr>
          <w:sz w:val="24"/>
          <w:szCs w:val="24"/>
          <w:lang w:val="en-US"/>
        </w:rPr>
      </w:pPr>
      <w:r w:rsidRPr="004A2677">
        <w:rPr>
          <w:sz w:val="24"/>
          <w:szCs w:val="24"/>
          <w:lang w:val="en-US"/>
        </w:rPr>
        <w:t xml:space="preserve">2. In connection with the competition in question, I am interested in point no. 2 do you really need solid wire in a coil with a diameter of 2.0 mm or maybe it is a </w:t>
      </w:r>
      <w:proofErr w:type="spellStart"/>
      <w:r w:rsidRPr="004A2677">
        <w:rPr>
          <w:sz w:val="24"/>
          <w:szCs w:val="24"/>
          <w:lang w:val="en-US"/>
        </w:rPr>
        <w:t>tig</w:t>
      </w:r>
      <w:proofErr w:type="spellEnd"/>
      <w:r w:rsidRPr="004A2677">
        <w:rPr>
          <w:sz w:val="24"/>
          <w:szCs w:val="24"/>
          <w:lang w:val="en-US"/>
        </w:rPr>
        <w:t xml:space="preserve"> wire with the same characteristics that comes in</w:t>
      </w:r>
      <w:bookmarkStart w:id="0" w:name="_GoBack"/>
      <w:bookmarkEnd w:id="0"/>
      <w:r w:rsidRPr="004A2677">
        <w:rPr>
          <w:sz w:val="24"/>
          <w:szCs w:val="24"/>
          <w:lang w:val="en-US"/>
        </w:rPr>
        <w:t xml:space="preserve"> 1 m rods?"</w:t>
      </w:r>
    </w:p>
    <w:p w14:paraId="1BB3F7AC" w14:textId="77777777" w:rsidR="004A2677" w:rsidRPr="004A2677" w:rsidRDefault="004A2677" w:rsidP="00830530">
      <w:pPr>
        <w:jc w:val="both"/>
        <w:rPr>
          <w:sz w:val="24"/>
          <w:szCs w:val="24"/>
          <w:lang w:val="en-US"/>
        </w:rPr>
      </w:pPr>
    </w:p>
    <w:p w14:paraId="65903DCE" w14:textId="7E8E3861" w:rsidR="004A2677" w:rsidRPr="004A2677" w:rsidRDefault="004A2677" w:rsidP="00830530">
      <w:pPr>
        <w:jc w:val="both"/>
        <w:rPr>
          <w:b/>
          <w:sz w:val="24"/>
          <w:szCs w:val="24"/>
          <w:lang w:val="en-US"/>
        </w:rPr>
      </w:pPr>
      <w:r w:rsidRPr="004A2677">
        <w:rPr>
          <w:b/>
          <w:sz w:val="24"/>
          <w:szCs w:val="24"/>
          <w:lang w:val="en-US"/>
        </w:rPr>
        <w:t>Answer (to both questions):</w:t>
      </w:r>
    </w:p>
    <w:p w14:paraId="388FC53B" w14:textId="77777777" w:rsidR="004A2677" w:rsidRPr="004A2677" w:rsidRDefault="004A2677" w:rsidP="00830530">
      <w:pPr>
        <w:jc w:val="both"/>
        <w:rPr>
          <w:sz w:val="24"/>
          <w:szCs w:val="24"/>
          <w:lang w:val="en-US"/>
        </w:rPr>
      </w:pPr>
    </w:p>
    <w:p w14:paraId="3115DA2C" w14:textId="5A6D9AB6" w:rsidR="004A2677" w:rsidRPr="004A2677" w:rsidRDefault="004A2677" w:rsidP="00830530">
      <w:pPr>
        <w:jc w:val="both"/>
        <w:rPr>
          <w:sz w:val="24"/>
          <w:szCs w:val="24"/>
          <w:lang w:val="en-US"/>
        </w:rPr>
      </w:pPr>
      <w:r w:rsidRPr="004A2677">
        <w:rPr>
          <w:sz w:val="24"/>
          <w:szCs w:val="24"/>
          <w:lang w:val="en-US"/>
        </w:rPr>
        <w:t>In the Cost Sheet under item 2, we require wire in a reel for laser welding, diameter 2.0 mm. Annex II of the Cost Sheet is corrected. The correction is marked in red. Bidders should use the latest version of the Cost Sheet.</w:t>
      </w:r>
    </w:p>
    <w:p w14:paraId="699FF53B" w14:textId="77777777" w:rsidR="004A2677" w:rsidRPr="004A2677" w:rsidRDefault="004A2677" w:rsidP="00830530">
      <w:pPr>
        <w:jc w:val="both"/>
        <w:rPr>
          <w:sz w:val="24"/>
          <w:szCs w:val="24"/>
        </w:rPr>
      </w:pPr>
    </w:p>
    <w:p w14:paraId="091D5485" w14:textId="1A33DF10" w:rsidR="00830530" w:rsidRPr="001A252F" w:rsidRDefault="00830530" w:rsidP="00830530">
      <w:pPr>
        <w:jc w:val="both"/>
        <w:rPr>
          <w:b/>
          <w:sz w:val="24"/>
          <w:szCs w:val="24"/>
        </w:rPr>
      </w:pPr>
      <w:r w:rsidRPr="001A252F">
        <w:rPr>
          <w:b/>
          <w:sz w:val="24"/>
          <w:szCs w:val="24"/>
        </w:rPr>
        <w:t>Napomena</w:t>
      </w:r>
    </w:p>
    <w:p w14:paraId="482D7778" w14:textId="741C1692" w:rsidR="00830530" w:rsidRDefault="00830530" w:rsidP="00830530">
      <w:pPr>
        <w:jc w:val="both"/>
        <w:rPr>
          <w:sz w:val="24"/>
          <w:szCs w:val="24"/>
        </w:rPr>
      </w:pPr>
      <w:r>
        <w:rPr>
          <w:sz w:val="24"/>
          <w:szCs w:val="24"/>
        </w:rPr>
        <w:t xml:space="preserve">Ovo pojašnjenje </w:t>
      </w:r>
      <w:r w:rsidR="00160159">
        <w:rPr>
          <w:sz w:val="24"/>
          <w:szCs w:val="24"/>
        </w:rPr>
        <w:t xml:space="preserve">i sve izmjene nabavne dokumentacije </w:t>
      </w:r>
      <w:r>
        <w:rPr>
          <w:sz w:val="24"/>
          <w:szCs w:val="24"/>
        </w:rPr>
        <w:t>se stavlja</w:t>
      </w:r>
      <w:r w:rsidR="00160159">
        <w:rPr>
          <w:sz w:val="24"/>
          <w:szCs w:val="24"/>
        </w:rPr>
        <w:t>ju</w:t>
      </w:r>
      <w:r>
        <w:rPr>
          <w:sz w:val="24"/>
          <w:szCs w:val="24"/>
        </w:rPr>
        <w:t xml:space="preserve"> na raspolaganje svim zainteresiranim gospodarskim subjektima objavom na internet stranici </w:t>
      </w:r>
      <w:hyperlink r:id="rId10" w:history="1">
        <w:r w:rsidRPr="00384CB7">
          <w:rPr>
            <w:rStyle w:val="Hiperveza"/>
            <w:sz w:val="24"/>
            <w:szCs w:val="24"/>
          </w:rPr>
          <w:t>www.strukturnifondovi.hr</w:t>
        </w:r>
      </w:hyperlink>
      <w:r>
        <w:rPr>
          <w:sz w:val="24"/>
          <w:szCs w:val="24"/>
        </w:rPr>
        <w:t xml:space="preserve"> .</w:t>
      </w:r>
    </w:p>
    <w:p w14:paraId="65D3A096" w14:textId="02C49035" w:rsidR="004A1BC5" w:rsidRDefault="004A1BC5" w:rsidP="004A1BC5">
      <w:pPr>
        <w:spacing w:after="0" w:line="288" w:lineRule="auto"/>
        <w:ind w:left="0" w:firstLine="0"/>
        <w:jc w:val="both"/>
        <w:rPr>
          <w:rFonts w:eastAsia="Calibri"/>
          <w:b/>
          <w:i/>
          <w:color w:val="auto"/>
          <w:sz w:val="24"/>
          <w:szCs w:val="24"/>
          <w:lang w:val="en-US" w:eastAsia="en-US"/>
        </w:rPr>
      </w:pPr>
      <w:r>
        <w:rPr>
          <w:rFonts w:eastAsia="Calibri"/>
          <w:b/>
          <w:i/>
          <w:color w:val="auto"/>
          <w:sz w:val="24"/>
          <w:szCs w:val="24"/>
          <w:lang w:val="en-US" w:eastAsia="en-US"/>
        </w:rPr>
        <w:t>/</w:t>
      </w:r>
    </w:p>
    <w:p w14:paraId="39E39DC2" w14:textId="77777777" w:rsidR="004A1BC5" w:rsidRPr="00160159" w:rsidRDefault="004A1BC5" w:rsidP="004A1BC5">
      <w:pPr>
        <w:spacing w:after="0" w:line="288" w:lineRule="auto"/>
        <w:ind w:left="0" w:firstLine="0"/>
        <w:jc w:val="both"/>
        <w:rPr>
          <w:rFonts w:eastAsia="Calibri"/>
          <w:b/>
          <w:i/>
          <w:color w:val="auto"/>
          <w:sz w:val="24"/>
          <w:szCs w:val="24"/>
          <w:lang w:val="en-US" w:eastAsia="en-US"/>
        </w:rPr>
      </w:pPr>
      <w:r w:rsidRPr="004A1BC5">
        <w:rPr>
          <w:rFonts w:eastAsia="Calibri"/>
          <w:b/>
          <w:i/>
          <w:color w:val="auto"/>
          <w:sz w:val="24"/>
          <w:szCs w:val="24"/>
          <w:lang w:val="en-US" w:eastAsia="en-US"/>
        </w:rPr>
        <w:lastRenderedPageBreak/>
        <w:t>Remark:</w:t>
      </w:r>
    </w:p>
    <w:p w14:paraId="09546570" w14:textId="77FA8874" w:rsidR="00421388" w:rsidRPr="00160159" w:rsidRDefault="004A1BC5" w:rsidP="00160159">
      <w:pPr>
        <w:spacing w:after="0" w:line="288" w:lineRule="auto"/>
        <w:ind w:left="0" w:firstLine="0"/>
        <w:jc w:val="both"/>
        <w:rPr>
          <w:rFonts w:eastAsia="Calibri"/>
          <w:i/>
          <w:color w:val="auto"/>
          <w:sz w:val="24"/>
          <w:szCs w:val="24"/>
          <w:lang w:val="en-US" w:eastAsia="en-US"/>
        </w:rPr>
      </w:pPr>
      <w:r w:rsidRPr="00160159">
        <w:rPr>
          <w:rFonts w:eastAsia="Calibri"/>
          <w:i/>
          <w:color w:val="auto"/>
          <w:sz w:val="24"/>
          <w:szCs w:val="24"/>
          <w:lang w:val="en-US" w:eastAsia="en-US"/>
        </w:rPr>
        <w:t xml:space="preserve">This clarification </w:t>
      </w:r>
      <w:r w:rsidR="00160159">
        <w:rPr>
          <w:rFonts w:eastAsia="Calibri"/>
          <w:i/>
          <w:color w:val="auto"/>
          <w:sz w:val="24"/>
          <w:szCs w:val="24"/>
          <w:lang w:val="en-US" w:eastAsia="en-US"/>
        </w:rPr>
        <w:t xml:space="preserve">and </w:t>
      </w:r>
      <w:r w:rsidR="00160159" w:rsidRPr="00160159">
        <w:rPr>
          <w:rFonts w:eastAsia="Calibri"/>
          <w:i/>
          <w:color w:val="auto"/>
          <w:sz w:val="24"/>
          <w:szCs w:val="24"/>
          <w:lang w:val="en-US" w:eastAsia="en-US"/>
        </w:rPr>
        <w:t>a</w:t>
      </w:r>
      <w:r w:rsidR="00160159">
        <w:rPr>
          <w:rFonts w:eastAsia="Calibri"/>
          <w:i/>
          <w:color w:val="auto"/>
          <w:sz w:val="24"/>
          <w:szCs w:val="24"/>
          <w:lang w:val="en-US" w:eastAsia="en-US"/>
        </w:rPr>
        <w:t>ll</w:t>
      </w:r>
      <w:r w:rsidR="00160159" w:rsidRPr="00160159">
        <w:rPr>
          <w:rFonts w:eastAsia="Calibri"/>
          <w:i/>
          <w:color w:val="auto"/>
          <w:sz w:val="24"/>
          <w:szCs w:val="24"/>
          <w:lang w:val="en-US" w:eastAsia="en-US"/>
        </w:rPr>
        <w:t xml:space="preserve"> changes to the procurement documentation </w:t>
      </w:r>
      <w:r w:rsidR="00160159">
        <w:rPr>
          <w:rFonts w:eastAsia="Calibri"/>
          <w:i/>
          <w:color w:val="auto"/>
          <w:sz w:val="24"/>
          <w:szCs w:val="24"/>
          <w:lang w:val="en-US" w:eastAsia="en-US"/>
        </w:rPr>
        <w:t xml:space="preserve">are </w:t>
      </w:r>
      <w:r w:rsidRPr="00160159">
        <w:rPr>
          <w:rFonts w:eastAsia="Calibri"/>
          <w:i/>
          <w:color w:val="auto"/>
          <w:sz w:val="24"/>
          <w:szCs w:val="24"/>
          <w:lang w:val="en-US" w:eastAsia="en-US"/>
        </w:rPr>
        <w:t xml:space="preserve">made available to all interested economic operators by publishing it on the website </w:t>
      </w:r>
      <w:hyperlink r:id="rId11" w:history="1">
        <w:r w:rsidR="00160159" w:rsidRPr="00221AB0">
          <w:rPr>
            <w:rStyle w:val="Hiperveza"/>
            <w:rFonts w:eastAsia="Calibri"/>
            <w:i/>
            <w:sz w:val="24"/>
            <w:szCs w:val="24"/>
            <w:lang w:val="en-US" w:eastAsia="en-US"/>
          </w:rPr>
          <w:t>www.strukturnifondovi.hr</w:t>
        </w:r>
      </w:hyperlink>
      <w:r w:rsidR="00160159">
        <w:rPr>
          <w:rFonts w:eastAsia="Calibri"/>
          <w:i/>
          <w:color w:val="auto"/>
          <w:sz w:val="24"/>
          <w:szCs w:val="24"/>
          <w:lang w:val="en-US" w:eastAsia="en-US"/>
        </w:rPr>
        <w:t xml:space="preserve"> </w:t>
      </w:r>
      <w:r w:rsidRPr="00160159">
        <w:rPr>
          <w:rFonts w:eastAsia="Calibri"/>
          <w:i/>
          <w:color w:val="auto"/>
          <w:sz w:val="24"/>
          <w:szCs w:val="24"/>
          <w:lang w:val="en-US" w:eastAsia="en-US"/>
        </w:rPr>
        <w:t>.</w:t>
      </w:r>
    </w:p>
    <w:sectPr w:rsidR="00421388" w:rsidRPr="00160159" w:rsidSect="00830530">
      <w:headerReference w:type="default" r:id="rId12"/>
      <w:pgSz w:w="11906" w:h="16838"/>
      <w:pgMar w:top="1856" w:right="104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62CA" w14:textId="77777777" w:rsidR="002C37BB" w:rsidRDefault="002C37BB" w:rsidP="00692478">
      <w:pPr>
        <w:spacing w:after="0" w:line="240" w:lineRule="auto"/>
      </w:pPr>
      <w:r>
        <w:separator/>
      </w:r>
    </w:p>
  </w:endnote>
  <w:endnote w:type="continuationSeparator" w:id="0">
    <w:p w14:paraId="5B48E78D" w14:textId="77777777" w:rsidR="002C37BB" w:rsidRDefault="002C37BB" w:rsidP="0069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69F5" w14:textId="77777777" w:rsidR="002C37BB" w:rsidRDefault="002C37BB" w:rsidP="00692478">
      <w:pPr>
        <w:spacing w:after="0" w:line="240" w:lineRule="auto"/>
      </w:pPr>
      <w:r>
        <w:separator/>
      </w:r>
    </w:p>
  </w:footnote>
  <w:footnote w:type="continuationSeparator" w:id="0">
    <w:p w14:paraId="6626F65E" w14:textId="77777777" w:rsidR="002C37BB" w:rsidRDefault="002C37BB" w:rsidP="0069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191D" w14:textId="5D16EBAD" w:rsidR="00955C9F" w:rsidRDefault="0072571C" w:rsidP="00955C9F">
    <w:pPr>
      <w:ind w:right="-966"/>
    </w:pPr>
    <w:r w:rsidRPr="00F440FD">
      <w:rPr>
        <w:noProof/>
        <w:lang w:val="en-US" w:eastAsia="en-US"/>
      </w:rPr>
      <w:drawing>
        <wp:anchor distT="0" distB="0" distL="114300" distR="114300" simplePos="0" relativeHeight="251661312" behindDoc="1" locked="0" layoutInCell="1" allowOverlap="1" wp14:anchorId="5314CDB1" wp14:editId="5889B5B1">
          <wp:simplePos x="0" y="0"/>
          <wp:positionH relativeFrom="page">
            <wp:posOffset>5364480</wp:posOffset>
          </wp:positionH>
          <wp:positionV relativeFrom="paragraph">
            <wp:posOffset>-441960</wp:posOffset>
          </wp:positionV>
          <wp:extent cx="2161413" cy="901974"/>
          <wp:effectExtent l="0" t="0" r="0" b="0"/>
          <wp:wrapNone/>
          <wp:docPr id="61683" name="Slika 6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v.png"/>
                  <pic:cNvPicPr/>
                </pic:nvPicPr>
                <pic:blipFill>
                  <a:blip r:embed="rId1">
                    <a:extLst>
                      <a:ext uri="{28A0092B-C50C-407E-A947-70E740481C1C}">
                        <a14:useLocalDpi xmlns:a14="http://schemas.microsoft.com/office/drawing/2010/main" val="0"/>
                      </a:ext>
                    </a:extLst>
                  </a:blip>
                  <a:stretch>
                    <a:fillRect/>
                  </a:stretch>
                </pic:blipFill>
                <pic:spPr>
                  <a:xfrm>
                    <a:off x="0" y="0"/>
                    <a:ext cx="2161413" cy="901974"/>
                  </a:xfrm>
                  <a:prstGeom prst="rect">
                    <a:avLst/>
                  </a:prstGeom>
                </pic:spPr>
              </pic:pic>
            </a:graphicData>
          </a:graphic>
        </wp:anchor>
      </w:drawing>
    </w:r>
    <w:r w:rsidR="00955C9F">
      <w:t xml:space="preserve"> </w:t>
    </w:r>
    <w:r w:rsidR="00955C9F">
      <w:tab/>
    </w:r>
  </w:p>
  <w:p w14:paraId="29F8902A" w14:textId="77777777" w:rsidR="00955C9F" w:rsidRPr="00955C9F" w:rsidRDefault="00955C9F" w:rsidP="00955C9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322B"/>
    <w:multiLevelType w:val="hybridMultilevel"/>
    <w:tmpl w:val="99F00518"/>
    <w:lvl w:ilvl="0" w:tplc="B34875A8">
      <w:start w:val="1"/>
      <w:numFmt w:val="decimal"/>
      <w:pStyle w:val="Naslov1"/>
      <w:lvlText w:val="%1."/>
      <w:lvlJc w:val="left"/>
      <w:pPr>
        <w:ind w:left="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1" w:tplc="0E54195E">
      <w:start w:val="1"/>
      <w:numFmt w:val="lowerLetter"/>
      <w:lvlText w:val="%2"/>
      <w:lvlJc w:val="left"/>
      <w:pPr>
        <w:ind w:left="108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2" w:tplc="89F27C2C">
      <w:start w:val="1"/>
      <w:numFmt w:val="lowerRoman"/>
      <w:lvlText w:val="%3"/>
      <w:lvlJc w:val="left"/>
      <w:pPr>
        <w:ind w:left="180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3" w:tplc="028E49CE">
      <w:start w:val="1"/>
      <w:numFmt w:val="decimal"/>
      <w:lvlText w:val="%4"/>
      <w:lvlJc w:val="left"/>
      <w:pPr>
        <w:ind w:left="252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4" w:tplc="B0EA7B36">
      <w:start w:val="1"/>
      <w:numFmt w:val="lowerLetter"/>
      <w:lvlText w:val="%5"/>
      <w:lvlJc w:val="left"/>
      <w:pPr>
        <w:ind w:left="324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5" w:tplc="6DC22EC4">
      <w:start w:val="1"/>
      <w:numFmt w:val="lowerRoman"/>
      <w:lvlText w:val="%6"/>
      <w:lvlJc w:val="left"/>
      <w:pPr>
        <w:ind w:left="396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6" w:tplc="64407EC8">
      <w:start w:val="1"/>
      <w:numFmt w:val="decimal"/>
      <w:lvlText w:val="%7"/>
      <w:lvlJc w:val="left"/>
      <w:pPr>
        <w:ind w:left="468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7" w:tplc="440255AC">
      <w:start w:val="1"/>
      <w:numFmt w:val="lowerLetter"/>
      <w:lvlText w:val="%8"/>
      <w:lvlJc w:val="left"/>
      <w:pPr>
        <w:ind w:left="540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lvl w:ilvl="8" w:tplc="1AC42E34">
      <w:start w:val="1"/>
      <w:numFmt w:val="lowerRoman"/>
      <w:lvlText w:val="%9"/>
      <w:lvlJc w:val="left"/>
      <w:pPr>
        <w:ind w:left="6120"/>
      </w:pPr>
      <w:rPr>
        <w:rFonts w:ascii="Segoe UI" w:eastAsia="Segoe UI" w:hAnsi="Segoe UI" w:cs="Segoe UI"/>
        <w:b w:val="0"/>
        <w:i w:val="0"/>
        <w:strike w:val="0"/>
        <w:dstrike w:val="0"/>
        <w:color w:val="002060"/>
        <w:sz w:val="22"/>
        <w:szCs w:val="22"/>
        <w:u w:val="none" w:color="000000"/>
        <w:bdr w:val="none" w:sz="0" w:space="0" w:color="auto"/>
        <w:shd w:val="clear" w:color="auto" w:fill="auto"/>
        <w:vertAlign w:val="baseline"/>
      </w:rPr>
    </w:lvl>
  </w:abstractNum>
  <w:abstractNum w:abstractNumId="1" w15:restartNumberingAfterBreak="0">
    <w:nsid w:val="1C940401"/>
    <w:multiLevelType w:val="hybridMultilevel"/>
    <w:tmpl w:val="6866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01CC5"/>
    <w:multiLevelType w:val="hybridMultilevel"/>
    <w:tmpl w:val="22E2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88"/>
    <w:rsid w:val="0002026F"/>
    <w:rsid w:val="00160159"/>
    <w:rsid w:val="00283A3C"/>
    <w:rsid w:val="002C37BB"/>
    <w:rsid w:val="0034797A"/>
    <w:rsid w:val="003A4046"/>
    <w:rsid w:val="003F1036"/>
    <w:rsid w:val="003F605F"/>
    <w:rsid w:val="00421388"/>
    <w:rsid w:val="00436067"/>
    <w:rsid w:val="004629B6"/>
    <w:rsid w:val="004A1BC5"/>
    <w:rsid w:val="004A2677"/>
    <w:rsid w:val="00514278"/>
    <w:rsid w:val="005B6A56"/>
    <w:rsid w:val="00651E9E"/>
    <w:rsid w:val="00692478"/>
    <w:rsid w:val="006F4EAA"/>
    <w:rsid w:val="00716BE0"/>
    <w:rsid w:val="0072571C"/>
    <w:rsid w:val="00817E63"/>
    <w:rsid w:val="00830530"/>
    <w:rsid w:val="008873F8"/>
    <w:rsid w:val="00936965"/>
    <w:rsid w:val="00955C9F"/>
    <w:rsid w:val="009E2FA8"/>
    <w:rsid w:val="00A702E1"/>
    <w:rsid w:val="00A84358"/>
    <w:rsid w:val="00B03CE5"/>
    <w:rsid w:val="00B03D36"/>
    <w:rsid w:val="00B22215"/>
    <w:rsid w:val="00BB55C3"/>
    <w:rsid w:val="00BD05DE"/>
    <w:rsid w:val="00D70724"/>
    <w:rsid w:val="00D83F2D"/>
    <w:rsid w:val="00DE1C49"/>
    <w:rsid w:val="00F65504"/>
    <w:rsid w:val="00FD56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ind w:left="10" w:hanging="10"/>
    </w:pPr>
    <w:rPr>
      <w:rFonts w:ascii="Segoe UI" w:eastAsia="Segoe UI" w:hAnsi="Segoe UI" w:cs="Segoe UI"/>
      <w:color w:val="000000"/>
      <w:sz w:val="20"/>
    </w:rPr>
  </w:style>
  <w:style w:type="paragraph" w:styleId="Naslov1">
    <w:name w:val="heading 1"/>
    <w:next w:val="Normal"/>
    <w:link w:val="Naslov1Char"/>
    <w:uiPriority w:val="9"/>
    <w:unhideWhenUsed/>
    <w:qFormat/>
    <w:pPr>
      <w:keepNext/>
      <w:keepLines/>
      <w:numPr>
        <w:numId w:val="1"/>
      </w:numPr>
      <w:spacing w:after="134"/>
      <w:ind w:left="10" w:hanging="10"/>
      <w:outlineLvl w:val="0"/>
    </w:pPr>
    <w:rPr>
      <w:rFonts w:ascii="Segoe UI" w:eastAsia="Segoe UI" w:hAnsi="Segoe UI" w:cs="Segoe UI"/>
      <w:color w:val="002060"/>
    </w:rPr>
  </w:style>
  <w:style w:type="paragraph" w:styleId="Naslov4">
    <w:name w:val="heading 4"/>
    <w:basedOn w:val="Normal"/>
    <w:next w:val="Normal"/>
    <w:link w:val="Naslov4Char"/>
    <w:uiPriority w:val="9"/>
    <w:unhideWhenUsed/>
    <w:qFormat/>
    <w:rsid w:val="00830530"/>
    <w:pPr>
      <w:keepNext/>
      <w:keepLines/>
      <w:spacing w:before="40" w:after="0" w:line="288" w:lineRule="auto"/>
      <w:ind w:left="0" w:firstLine="0"/>
      <w:outlineLvl w:val="3"/>
    </w:pPr>
    <w:rPr>
      <w:rFonts w:asciiTheme="majorHAnsi" w:eastAsiaTheme="majorEastAsia" w:hAnsiTheme="majorHAnsi" w:cstheme="majorBidi"/>
      <w:i/>
      <w:iCs/>
      <w:color w:val="2E74B5" w:themeColor="accent1" w:themeShade="BF"/>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Segoe UI" w:eastAsia="Segoe UI" w:hAnsi="Segoe UI" w:cs="Segoe UI"/>
      <w:color w:val="002060"/>
      <w:sz w:val="22"/>
    </w:rPr>
  </w:style>
  <w:style w:type="character" w:styleId="Referencakomentara">
    <w:name w:val="annotation reference"/>
    <w:basedOn w:val="Zadanifontodlomka"/>
    <w:uiPriority w:val="99"/>
    <w:semiHidden/>
    <w:unhideWhenUsed/>
    <w:rsid w:val="003F1036"/>
    <w:rPr>
      <w:sz w:val="16"/>
      <w:szCs w:val="16"/>
    </w:rPr>
  </w:style>
  <w:style w:type="paragraph" w:styleId="Tekstkomentara">
    <w:name w:val="annotation text"/>
    <w:basedOn w:val="Normal"/>
    <w:link w:val="TekstkomentaraChar"/>
    <w:uiPriority w:val="99"/>
    <w:semiHidden/>
    <w:unhideWhenUsed/>
    <w:rsid w:val="003F1036"/>
    <w:pPr>
      <w:spacing w:line="240" w:lineRule="auto"/>
    </w:pPr>
    <w:rPr>
      <w:szCs w:val="20"/>
    </w:rPr>
  </w:style>
  <w:style w:type="character" w:customStyle="1" w:styleId="TekstkomentaraChar">
    <w:name w:val="Tekst komentara Char"/>
    <w:basedOn w:val="Zadanifontodlomka"/>
    <w:link w:val="Tekstkomentara"/>
    <w:uiPriority w:val="99"/>
    <w:semiHidden/>
    <w:rsid w:val="003F1036"/>
    <w:rPr>
      <w:rFonts w:ascii="Segoe UI" w:eastAsia="Segoe UI" w:hAnsi="Segoe UI" w:cs="Segoe UI"/>
      <w:color w:val="000000"/>
      <w:sz w:val="20"/>
      <w:szCs w:val="20"/>
    </w:rPr>
  </w:style>
  <w:style w:type="paragraph" w:styleId="Predmetkomentara">
    <w:name w:val="annotation subject"/>
    <w:basedOn w:val="Tekstkomentara"/>
    <w:next w:val="Tekstkomentara"/>
    <w:link w:val="PredmetkomentaraChar"/>
    <w:uiPriority w:val="99"/>
    <w:semiHidden/>
    <w:unhideWhenUsed/>
    <w:rsid w:val="003F1036"/>
    <w:rPr>
      <w:b/>
      <w:bCs/>
    </w:rPr>
  </w:style>
  <w:style w:type="character" w:customStyle="1" w:styleId="PredmetkomentaraChar">
    <w:name w:val="Predmet komentara Char"/>
    <w:basedOn w:val="TekstkomentaraChar"/>
    <w:link w:val="Predmetkomentara"/>
    <w:uiPriority w:val="99"/>
    <w:semiHidden/>
    <w:rsid w:val="003F1036"/>
    <w:rPr>
      <w:rFonts w:ascii="Segoe UI" w:eastAsia="Segoe UI" w:hAnsi="Segoe UI" w:cs="Segoe UI"/>
      <w:b/>
      <w:bCs/>
      <w:color w:val="000000"/>
      <w:sz w:val="20"/>
      <w:szCs w:val="20"/>
    </w:rPr>
  </w:style>
  <w:style w:type="paragraph" w:styleId="Tekstbalonia">
    <w:name w:val="Balloon Text"/>
    <w:basedOn w:val="Normal"/>
    <w:link w:val="TekstbaloniaChar"/>
    <w:uiPriority w:val="99"/>
    <w:semiHidden/>
    <w:unhideWhenUsed/>
    <w:rsid w:val="003F1036"/>
    <w:pPr>
      <w:spacing w:after="0" w:line="240" w:lineRule="auto"/>
    </w:pPr>
    <w:rPr>
      <w:sz w:val="18"/>
      <w:szCs w:val="18"/>
    </w:rPr>
  </w:style>
  <w:style w:type="character" w:customStyle="1" w:styleId="TekstbaloniaChar">
    <w:name w:val="Tekst balončića Char"/>
    <w:basedOn w:val="Zadanifontodlomka"/>
    <w:link w:val="Tekstbalonia"/>
    <w:uiPriority w:val="99"/>
    <w:semiHidden/>
    <w:rsid w:val="003F1036"/>
    <w:rPr>
      <w:rFonts w:ascii="Segoe UI" w:eastAsia="Segoe UI" w:hAnsi="Segoe UI" w:cs="Segoe UI"/>
      <w:color w:val="000000"/>
      <w:sz w:val="18"/>
      <w:szCs w:val="18"/>
    </w:rPr>
  </w:style>
  <w:style w:type="paragraph" w:styleId="Zaglavlje">
    <w:name w:val="header"/>
    <w:basedOn w:val="Normal"/>
    <w:link w:val="ZaglavljeChar"/>
    <w:uiPriority w:val="99"/>
    <w:unhideWhenUsed/>
    <w:rsid w:val="0069247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92478"/>
    <w:rPr>
      <w:rFonts w:ascii="Segoe UI" w:eastAsia="Segoe UI" w:hAnsi="Segoe UI" w:cs="Segoe UI"/>
      <w:color w:val="000000"/>
      <w:sz w:val="20"/>
    </w:rPr>
  </w:style>
  <w:style w:type="paragraph" w:styleId="Podnoje">
    <w:name w:val="footer"/>
    <w:basedOn w:val="Normal"/>
    <w:link w:val="PodnojeChar"/>
    <w:uiPriority w:val="99"/>
    <w:unhideWhenUsed/>
    <w:rsid w:val="0069247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92478"/>
    <w:rPr>
      <w:rFonts w:ascii="Segoe UI" w:eastAsia="Segoe UI" w:hAnsi="Segoe UI" w:cs="Segoe UI"/>
      <w:color w:val="000000"/>
      <w:sz w:val="20"/>
    </w:rPr>
  </w:style>
  <w:style w:type="character" w:customStyle="1" w:styleId="Naslov4Char">
    <w:name w:val="Naslov 4 Char"/>
    <w:basedOn w:val="Zadanifontodlomka"/>
    <w:link w:val="Naslov4"/>
    <w:uiPriority w:val="9"/>
    <w:rsid w:val="00830530"/>
    <w:rPr>
      <w:rFonts w:asciiTheme="majorHAnsi" w:eastAsiaTheme="majorEastAsia" w:hAnsiTheme="majorHAnsi" w:cstheme="majorBidi"/>
      <w:i/>
      <w:iCs/>
      <w:color w:val="2E74B5" w:themeColor="accent1" w:themeShade="BF"/>
      <w:sz w:val="20"/>
      <w:lang w:eastAsia="en-US"/>
    </w:rPr>
  </w:style>
  <w:style w:type="paragraph" w:styleId="Odlomakpopisa">
    <w:name w:val="List Paragraph"/>
    <w:basedOn w:val="Normal"/>
    <w:uiPriority w:val="34"/>
    <w:qFormat/>
    <w:rsid w:val="00830530"/>
    <w:pPr>
      <w:spacing w:after="0" w:line="288" w:lineRule="auto"/>
      <w:ind w:left="720" w:firstLine="0"/>
      <w:contextualSpacing/>
    </w:pPr>
    <w:rPr>
      <w:rFonts w:eastAsiaTheme="minorHAnsi" w:cstheme="minorBidi"/>
      <w:color w:val="auto"/>
      <w:lang w:eastAsia="en-US"/>
    </w:rPr>
  </w:style>
  <w:style w:type="character" w:styleId="Hiperveza">
    <w:name w:val="Hyperlink"/>
    <w:basedOn w:val="Zadanifontodlomka"/>
    <w:uiPriority w:val="99"/>
    <w:unhideWhenUsed/>
    <w:rsid w:val="00830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6" ma:contentTypeDescription="Create a new document." ma:contentTypeScope="" ma:versionID="89c8fea155b3bb073218f4f612f1d87c">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593f06b3c684ac38fd5d9c84b988fee2"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2E38777A-2013-48DD-B0FF-5CB994D85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3BBC9-495B-4E0C-B780-4A6778B541BC}">
  <ds:schemaRefs>
    <ds:schemaRef ds:uri="http://schemas.microsoft.com/sharepoint/v3/contenttype/forms"/>
  </ds:schemaRefs>
</ds:datastoreItem>
</file>

<file path=customXml/itemProps3.xml><?xml version="1.0" encoding="utf-8"?>
<ds:datastoreItem xmlns:ds="http://schemas.openxmlformats.org/officeDocument/2006/customXml" ds:itemID="{0B5237D1-E676-4342-BDB0-85D9D6FC8CAA}">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2023-09-21T09:58:00Z</dcterms:created>
  <dcterms:modified xsi:type="dcterms:W3CDTF">2023-09-21T10:06:00Z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