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737B8B9D" w14:textId="77777777" w:rsidR="0091219F" w:rsidRDefault="0091219F" w:rsidP="00B25133">
      <w:pPr>
        <w:pStyle w:val="Tijeloteksta"/>
        <w:spacing w:before="1"/>
        <w:jc w:val="center"/>
        <w:rPr>
          <w:b/>
          <w:bCs/>
          <w:spacing w:val="-3"/>
          <w:sz w:val="28"/>
          <w:szCs w:val="28"/>
        </w:rPr>
      </w:pPr>
      <w:r w:rsidRPr="0091219F">
        <w:rPr>
          <w:b/>
          <w:bCs/>
          <w:spacing w:val="-3"/>
          <w:sz w:val="28"/>
          <w:szCs w:val="28"/>
        </w:rPr>
        <w:t xml:space="preserve">Potrošni materijal za opću upotrebu u </w:t>
      </w:r>
    </w:p>
    <w:p w14:paraId="29C9C7C2" w14:textId="40DAEBAD" w:rsidR="00B25133" w:rsidRDefault="0091219F" w:rsidP="00B25133">
      <w:pPr>
        <w:pStyle w:val="Tijeloteksta"/>
        <w:spacing w:before="1"/>
        <w:jc w:val="center"/>
        <w:rPr>
          <w:sz w:val="32"/>
        </w:rPr>
      </w:pPr>
      <w:r w:rsidRPr="0091219F">
        <w:rPr>
          <w:b/>
          <w:bCs/>
          <w:spacing w:val="-3"/>
          <w:sz w:val="28"/>
          <w:szCs w:val="28"/>
        </w:rPr>
        <w:t xml:space="preserve">molekularnom laboratoriju </w:t>
      </w:r>
      <w:r w:rsidR="00EA34C2">
        <w:rPr>
          <w:b/>
          <w:bCs/>
          <w:spacing w:val="-3"/>
          <w:sz w:val="28"/>
          <w:szCs w:val="28"/>
        </w:rPr>
        <w:t>za</w:t>
      </w:r>
      <w:r w:rsidRPr="0091219F">
        <w:rPr>
          <w:b/>
          <w:bCs/>
          <w:spacing w:val="-3"/>
          <w:sz w:val="28"/>
          <w:szCs w:val="28"/>
        </w:rPr>
        <w:t xml:space="preserve"> sekvencioniranj</w:t>
      </w:r>
      <w:r w:rsidR="00EA34C2">
        <w:rPr>
          <w:b/>
          <w:bCs/>
          <w:spacing w:val="-3"/>
          <w:sz w:val="28"/>
          <w:szCs w:val="28"/>
        </w:rPr>
        <w:t>e</w:t>
      </w:r>
    </w:p>
    <w:p w14:paraId="78C5122F" w14:textId="77777777" w:rsidR="0091219F" w:rsidRDefault="0091219F">
      <w:pPr>
        <w:ind w:left="3030" w:right="3064"/>
        <w:jc w:val="center"/>
        <w:rPr>
          <w:sz w:val="28"/>
        </w:rPr>
      </w:pPr>
    </w:p>
    <w:p w14:paraId="66095D05" w14:textId="17B27D41" w:rsidR="00923D05" w:rsidRDefault="004946D6">
      <w:pPr>
        <w:ind w:left="3030" w:right="3064"/>
        <w:jc w:val="center"/>
        <w:rPr>
          <w:sz w:val="28"/>
        </w:rPr>
      </w:pPr>
      <w:r>
        <w:rPr>
          <w:sz w:val="28"/>
        </w:rPr>
        <w:t xml:space="preserve">Evidencijski broj nabave: </w:t>
      </w:r>
      <w:r w:rsidR="0021379B">
        <w:rPr>
          <w:sz w:val="28"/>
        </w:rPr>
        <w:t>0</w:t>
      </w:r>
      <w:r w:rsidR="00EA34C2">
        <w:rPr>
          <w:sz w:val="28"/>
        </w:rPr>
        <w:t>4</w:t>
      </w:r>
      <w:r>
        <w:rPr>
          <w:sz w:val="28"/>
        </w:rPr>
        <w:t>/20</w:t>
      </w:r>
      <w:r w:rsidR="00604DED">
        <w:rPr>
          <w:sz w:val="28"/>
        </w:rPr>
        <w:t>2</w:t>
      </w:r>
      <w:r w:rsidR="00E51331">
        <w:rPr>
          <w:sz w:val="28"/>
        </w:rPr>
        <w:t>3</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3B204226" w:rsidR="00923D05" w:rsidRDefault="00B34DF8" w:rsidP="00B34DF8">
      <w:pPr>
        <w:spacing w:before="1"/>
        <w:ind w:right="3064"/>
        <w:rPr>
          <w:sz w:val="28"/>
        </w:rPr>
      </w:pPr>
      <w:r>
        <w:rPr>
          <w:sz w:val="28"/>
        </w:rPr>
        <w:t xml:space="preserve">                                              </w:t>
      </w:r>
      <w:r w:rsidR="00B11678">
        <w:rPr>
          <w:sz w:val="28"/>
        </w:rPr>
        <w:t>Za</w:t>
      </w:r>
      <w:r w:rsidR="00946681">
        <w:rPr>
          <w:sz w:val="28"/>
        </w:rPr>
        <w:t>greb</w:t>
      </w:r>
      <w:r w:rsidR="004946D6">
        <w:rPr>
          <w:sz w:val="28"/>
        </w:rPr>
        <w:t xml:space="preserve">,  </w:t>
      </w:r>
      <w:r>
        <w:rPr>
          <w:sz w:val="28"/>
        </w:rPr>
        <w:t>04</w:t>
      </w:r>
      <w:r w:rsidR="004946D6">
        <w:rPr>
          <w:sz w:val="28"/>
        </w:rPr>
        <w:t xml:space="preserve">. </w:t>
      </w:r>
      <w:r>
        <w:rPr>
          <w:sz w:val="28"/>
        </w:rPr>
        <w:t>kolovoza</w:t>
      </w:r>
      <w:r w:rsidR="004946D6">
        <w:rPr>
          <w:sz w:val="28"/>
        </w:rPr>
        <w:t xml:space="preserve"> 20</w:t>
      </w:r>
      <w:r w:rsidR="009315A2">
        <w:rPr>
          <w:sz w:val="28"/>
        </w:rPr>
        <w:t>2</w:t>
      </w:r>
      <w:r w:rsidR="00E51331">
        <w:rPr>
          <w:sz w:val="28"/>
        </w:rPr>
        <w:t>3</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Datum, vrijeme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6C16EE44" w:rsidR="00923D05" w:rsidRDefault="004946D6">
      <w:pPr>
        <w:pStyle w:val="Tijeloteksta"/>
        <w:ind w:left="113"/>
        <w:jc w:val="both"/>
      </w:pPr>
      <w:r>
        <w:t xml:space="preserve">Ev. br. </w:t>
      </w:r>
      <w:r w:rsidR="0021379B">
        <w:t>0</w:t>
      </w:r>
      <w:r w:rsidR="00EA34C2">
        <w:t>4</w:t>
      </w:r>
      <w:r>
        <w:t>/20</w:t>
      </w:r>
      <w:r w:rsidR="00604DED">
        <w:t>2</w:t>
      </w:r>
      <w:r w:rsidR="00E51331">
        <w:t>3</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2BDA3ACD"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KVADRILAB d.o.o. Jaruščica 7, 10000 Zagreb, Hrvatska</w:t>
      </w:r>
    </w:p>
    <w:p w14:paraId="6E0E96AC"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40B73A4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5043579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4283EC4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5A0B86DA"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07414219"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6D9177F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00B367F8"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7DA83BAE"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430197C5" w:rsidR="00923D05" w:rsidRDefault="004946D6">
      <w:pPr>
        <w:pStyle w:val="Tijeloteksta"/>
        <w:spacing w:before="127"/>
        <w:ind w:left="113"/>
        <w:jc w:val="both"/>
      </w:pPr>
      <w:r>
        <w:t xml:space="preserve">Ukupna procijenjena vrijednost nabave: </w:t>
      </w:r>
      <w:r w:rsidR="00404AA4">
        <w:t>159</w:t>
      </w:r>
      <w:r w:rsidR="0091219F" w:rsidRPr="0091219F">
        <w:t>.</w:t>
      </w:r>
      <w:r w:rsidR="00404AA4">
        <w:t>585</w:t>
      </w:r>
      <w:r w:rsidR="0091219F" w:rsidRPr="0091219F">
        <w:t>,</w:t>
      </w:r>
      <w:r w:rsidR="00404AA4">
        <w:t>90</w:t>
      </w:r>
      <w:r w:rsidR="0091219F" w:rsidRPr="0091219F">
        <w:t xml:space="preserve"> eura ( </w:t>
      </w:r>
      <w:r w:rsidR="00404AA4" w:rsidRPr="00404AA4">
        <w:t xml:space="preserve">1.202.400,00 </w:t>
      </w:r>
      <w:r w:rsidR="0091219F" w:rsidRPr="0091219F">
        <w:t>kn) bez PDV-a</w:t>
      </w:r>
      <w:r>
        <w:t>.</w:t>
      </w:r>
    </w:p>
    <w:p w14:paraId="56B041E3" w14:textId="0B2F25EB" w:rsidR="00B9167F" w:rsidRDefault="00B9167F">
      <w:pPr>
        <w:pStyle w:val="Tijeloteksta"/>
        <w:spacing w:before="127"/>
        <w:ind w:left="113"/>
        <w:jc w:val="both"/>
      </w:pPr>
      <w:r>
        <w:t>GRUPA 1</w:t>
      </w:r>
      <w:r w:rsidR="0091219F">
        <w:t xml:space="preserve"> </w:t>
      </w:r>
      <w:r w:rsidR="0091219F" w:rsidRPr="0091219F">
        <w:t>(</w:t>
      </w:r>
      <w:r w:rsidR="00404AA4">
        <w:t>sekvencioniranje</w:t>
      </w:r>
      <w:r w:rsidR="0091219F" w:rsidRPr="0091219F">
        <w:t>)</w:t>
      </w:r>
      <w:r w:rsidR="0091219F">
        <w:t xml:space="preserve"> </w:t>
      </w:r>
      <w:r>
        <w:t xml:space="preserve"> –</w:t>
      </w:r>
      <w:r w:rsidR="00E51331">
        <w:t xml:space="preserve"> </w:t>
      </w:r>
      <w:r w:rsidR="00404AA4" w:rsidRPr="00404AA4">
        <w:t>76.590, 00</w:t>
      </w:r>
      <w:r w:rsidR="00404AA4">
        <w:t xml:space="preserve"> </w:t>
      </w:r>
      <w:r w:rsidR="00E51331">
        <w:t>eura (</w:t>
      </w:r>
      <w:r>
        <w:t xml:space="preserve"> </w:t>
      </w:r>
      <w:r w:rsidR="00404AA4">
        <w:t>577</w:t>
      </w:r>
      <w:r w:rsidR="00B25133">
        <w:t>.</w:t>
      </w:r>
      <w:r w:rsidR="00404AA4">
        <w:t>067</w:t>
      </w:r>
      <w:r w:rsidR="00B25133">
        <w:t>,</w:t>
      </w:r>
      <w:r w:rsidR="00404AA4">
        <w:t>3</w:t>
      </w:r>
      <w:r w:rsidR="00137301">
        <w:t>5</w:t>
      </w:r>
      <w:r w:rsidR="00165F34">
        <w:t xml:space="preserve"> kn</w:t>
      </w:r>
      <w:r w:rsidR="00E51331">
        <w:t>)</w:t>
      </w:r>
      <w:r w:rsidR="00165F34" w:rsidRPr="00165F34">
        <w:t xml:space="preserve"> bez PDV-a</w:t>
      </w:r>
    </w:p>
    <w:p w14:paraId="4622FD91" w14:textId="2E51DECD" w:rsidR="00B9167F" w:rsidRDefault="00B9167F">
      <w:pPr>
        <w:pStyle w:val="Tijeloteksta"/>
        <w:spacing w:before="127"/>
        <w:ind w:left="113"/>
        <w:jc w:val="both"/>
      </w:pPr>
      <w:r>
        <w:t>GRUPA 2</w:t>
      </w:r>
      <w:r w:rsidR="0091219F">
        <w:t xml:space="preserve"> </w:t>
      </w:r>
      <w:r w:rsidR="0091219F" w:rsidRPr="0091219F">
        <w:t>(</w:t>
      </w:r>
      <w:r w:rsidR="00404AA4" w:rsidRPr="00404AA4">
        <w:t>izolacija eDNA</w:t>
      </w:r>
      <w:r w:rsidR="0091219F" w:rsidRPr="0091219F">
        <w:t xml:space="preserve">) </w:t>
      </w:r>
      <w:r w:rsidR="0091219F">
        <w:t xml:space="preserve"> </w:t>
      </w:r>
      <w:r>
        <w:t xml:space="preserve"> </w:t>
      </w:r>
      <w:r w:rsidR="00165F34">
        <w:t>–</w:t>
      </w:r>
      <w:r>
        <w:t xml:space="preserve"> </w:t>
      </w:r>
      <w:r w:rsidR="00404AA4">
        <w:t>20</w:t>
      </w:r>
      <w:r w:rsidR="0091219F" w:rsidRPr="0091219F">
        <w:t>.</w:t>
      </w:r>
      <w:r w:rsidR="00404AA4">
        <w:t>0</w:t>
      </w:r>
      <w:r w:rsidR="0091219F" w:rsidRPr="0091219F">
        <w:t>00,00</w:t>
      </w:r>
      <w:r w:rsidR="0091219F">
        <w:t xml:space="preserve"> </w:t>
      </w:r>
      <w:r w:rsidR="00E51331">
        <w:t>eura (</w:t>
      </w:r>
      <w:r w:rsidR="00404AA4">
        <w:t>150</w:t>
      </w:r>
      <w:r w:rsidR="00165F34">
        <w:t>.</w:t>
      </w:r>
      <w:r w:rsidR="00404AA4">
        <w:t>690</w:t>
      </w:r>
      <w:r w:rsidR="00165F34">
        <w:t>,</w:t>
      </w:r>
      <w:r w:rsidR="00404AA4">
        <w:t>00</w:t>
      </w:r>
      <w:r w:rsidR="00165F34">
        <w:t xml:space="preserve"> kn</w:t>
      </w:r>
      <w:r w:rsidR="00E51331">
        <w:t>)</w:t>
      </w:r>
      <w:r w:rsidR="00165F34" w:rsidRPr="00165F34">
        <w:t xml:space="preserve"> bez PDV-a</w:t>
      </w:r>
    </w:p>
    <w:p w14:paraId="61B59B67" w14:textId="49786793" w:rsidR="00404AA4" w:rsidRDefault="00404AA4">
      <w:pPr>
        <w:pStyle w:val="Tijeloteksta"/>
        <w:spacing w:before="127"/>
        <w:ind w:left="113"/>
        <w:jc w:val="both"/>
      </w:pPr>
      <w:r>
        <w:t>GRUPA 3 (filtracija) - 15</w:t>
      </w:r>
      <w:r w:rsidRPr="00404AA4">
        <w:t>.</w:t>
      </w:r>
      <w:r>
        <w:t>810</w:t>
      </w:r>
      <w:r w:rsidRPr="00404AA4">
        <w:t>,00 eura (</w:t>
      </w:r>
      <w:r>
        <w:t>119</w:t>
      </w:r>
      <w:r w:rsidRPr="00404AA4">
        <w:t>.</w:t>
      </w:r>
      <w:r>
        <w:t>120</w:t>
      </w:r>
      <w:r w:rsidRPr="00404AA4">
        <w:t>,</w:t>
      </w:r>
      <w:r>
        <w:t>4</w:t>
      </w:r>
      <w:r w:rsidR="00137301">
        <w:t>6</w:t>
      </w:r>
      <w:r w:rsidRPr="00404AA4">
        <w:t xml:space="preserve"> kn) bez PDV-a</w:t>
      </w:r>
    </w:p>
    <w:p w14:paraId="7DBFA3AB" w14:textId="0F0C8B99" w:rsidR="00404AA4" w:rsidRDefault="00404AA4">
      <w:pPr>
        <w:pStyle w:val="Tijeloteksta"/>
        <w:spacing w:before="127"/>
        <w:ind w:left="113"/>
        <w:jc w:val="both"/>
      </w:pPr>
      <w:r w:rsidRPr="00404AA4">
        <w:t xml:space="preserve">GRUPA </w:t>
      </w:r>
      <w:r>
        <w:t>4</w:t>
      </w:r>
      <w:r w:rsidRPr="00404AA4">
        <w:t xml:space="preserve"> (opći potrošni materijal za mol. lab.) - 47.185,90 eura (</w:t>
      </w:r>
      <w:r>
        <w:t>355</w:t>
      </w:r>
      <w:r w:rsidRPr="00404AA4">
        <w:t>.</w:t>
      </w:r>
      <w:r>
        <w:t>522</w:t>
      </w:r>
      <w:r w:rsidRPr="00404AA4">
        <w:t>,</w:t>
      </w:r>
      <w:r>
        <w:t>1</w:t>
      </w:r>
      <w:r w:rsidR="00137301">
        <w:t>9</w:t>
      </w:r>
      <w:r w:rsidRPr="00404AA4">
        <w:t xml:space="preserve"> kn) bez PDV-a</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57CC311D" w:rsidR="00923D05" w:rsidRDefault="004946D6">
      <w:pPr>
        <w:pStyle w:val="Tijeloteksta"/>
        <w:ind w:left="113" w:right="149"/>
        <w:jc w:val="both"/>
      </w:pPr>
      <w:r>
        <w:t xml:space="preserve">Predmet nabave </w:t>
      </w:r>
      <w:r w:rsidR="00B11678">
        <w:t>je podijeljen u grupe</w:t>
      </w:r>
      <w:r>
        <w:t>.</w:t>
      </w:r>
    </w:p>
    <w:p w14:paraId="4F84F974" w14:textId="77777777" w:rsidR="00B9167F" w:rsidRDefault="00B9167F">
      <w:pPr>
        <w:pStyle w:val="Tijeloteksta"/>
        <w:ind w:left="113" w:right="149"/>
        <w:jc w:val="both"/>
      </w:pPr>
    </w:p>
    <w:p w14:paraId="0CFD2C95" w14:textId="5A305BD0" w:rsidR="00404AA4" w:rsidRDefault="00B9167F">
      <w:pPr>
        <w:pStyle w:val="Tijeloteksta"/>
        <w:ind w:left="113" w:right="149"/>
        <w:jc w:val="both"/>
      </w:pPr>
      <w:r>
        <w:t xml:space="preserve">GRUPA 1 </w:t>
      </w:r>
      <w:r w:rsidR="004F32C2" w:rsidRPr="004F32C2">
        <w:t xml:space="preserve">(sekvencioniranje)  </w:t>
      </w:r>
    </w:p>
    <w:p w14:paraId="7F331E2E" w14:textId="77777777" w:rsidR="00404AA4" w:rsidRDefault="00B9167F">
      <w:pPr>
        <w:pStyle w:val="Tijeloteksta"/>
        <w:ind w:left="113" w:right="149"/>
        <w:jc w:val="both"/>
      </w:pPr>
      <w:r>
        <w:t xml:space="preserve">GRUPA 2 </w:t>
      </w:r>
      <w:r w:rsidR="0091219F" w:rsidRPr="0091219F">
        <w:t>(</w:t>
      </w:r>
      <w:r w:rsidR="00404AA4" w:rsidRPr="00404AA4">
        <w:t>izolacija eDNA</w:t>
      </w:r>
      <w:r w:rsidR="0091219F" w:rsidRPr="0091219F">
        <w:t>)</w:t>
      </w:r>
    </w:p>
    <w:p w14:paraId="710871AD" w14:textId="77777777" w:rsidR="00404AA4" w:rsidRDefault="00404AA4">
      <w:pPr>
        <w:pStyle w:val="Tijeloteksta"/>
        <w:ind w:left="113" w:right="149"/>
        <w:jc w:val="both"/>
      </w:pPr>
      <w:r w:rsidRPr="00404AA4">
        <w:t>GRUPA 3 (filtracija)</w:t>
      </w:r>
    </w:p>
    <w:p w14:paraId="5D7FBF59" w14:textId="1F824482" w:rsidR="00B9167F" w:rsidRDefault="00404AA4">
      <w:pPr>
        <w:pStyle w:val="Tijeloteksta"/>
        <w:ind w:left="113" w:right="149"/>
        <w:jc w:val="both"/>
      </w:pPr>
      <w:r w:rsidRPr="00404AA4">
        <w:t>GRUPA 4 (opći potrošni materijal za mol. lab.)</w:t>
      </w:r>
      <w:r w:rsidR="0091219F">
        <w:t>.</w:t>
      </w: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68A5BB4" w:rsidR="00FB1B32" w:rsidRDefault="004946D6" w:rsidP="00A93597">
      <w:pPr>
        <w:pStyle w:val="Tijeloteksta"/>
        <w:ind w:left="113" w:right="173"/>
        <w:jc w:val="both"/>
      </w:pPr>
      <w:r>
        <w:t xml:space="preserve">Predmet nabave </w:t>
      </w:r>
      <w:r w:rsidR="00EF6387">
        <w:t xml:space="preserve">je </w:t>
      </w:r>
      <w:r w:rsidR="00B25133" w:rsidRPr="00B25133">
        <w:t xml:space="preserve">Potrošni materijal za opću upotrebu u molekularnom laboratoriju </w:t>
      </w:r>
      <w:r w:rsidR="00404AA4">
        <w:t>za</w:t>
      </w:r>
      <w:r w:rsidR="00B25133" w:rsidRPr="00B25133">
        <w:t xml:space="preserve"> sekvencioniranj</w:t>
      </w:r>
      <w:r w:rsidR="00404AA4">
        <w:t>e</w:t>
      </w:r>
      <w:r>
        <w:t xml:space="preserve">, </w:t>
      </w:r>
      <w:r w:rsidR="00B11678">
        <w:t xml:space="preserve"> sa tehničkim specifikacija</w:t>
      </w:r>
      <w:r w:rsidR="000E3D4F">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413BA4">
        <w:t xml:space="preserve">Potrošni materijal se nabavlja za potrebe provedbe projekta: </w:t>
      </w:r>
      <w:r w:rsidR="00165F34" w:rsidRPr="005E3704">
        <w:rPr>
          <w:i/>
          <w:iCs/>
        </w:rPr>
        <w:t>„</w:t>
      </w:r>
      <w:r w:rsidR="00B25133" w:rsidRPr="00B25133">
        <w:rPr>
          <w:i/>
          <w:iCs/>
        </w:rPr>
        <w:t>Razvoj testa na osnovi nukleinskih kiselina za identifikaciju vrsta koje ukazuju na kvalitete vode</w:t>
      </w:r>
      <w:r w:rsidR="00165F34" w:rsidRPr="005E3704">
        <w:rPr>
          <w:i/>
          <w:iCs/>
        </w:rPr>
        <w:t>“</w:t>
      </w:r>
      <w:r w:rsidR="00165F34">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opremu </w:t>
      </w:r>
      <w:r>
        <w:t xml:space="preserve">na način kako je to definirano u troškovniku (Prilog </w:t>
      </w:r>
      <w:r w:rsidR="003304DE">
        <w:t>3</w:t>
      </w:r>
      <w:r>
        <w:t xml:space="preserve">.). </w:t>
      </w:r>
      <w:r w:rsidR="00570479" w:rsidRPr="00570479">
        <w:t>Ponuditelj može dati ponudu za jednu</w:t>
      </w:r>
      <w:r w:rsidR="00404AA4">
        <w:t>, dvije, tri ili četiri</w:t>
      </w:r>
      <w:r w:rsidR="00570479" w:rsidRPr="00570479">
        <w:t xml:space="preserve"> grupe predmeta nabave.</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51173534" w:rsidR="00923D05" w:rsidRPr="004E1649"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r w:rsidRPr="004E1649">
        <w:t xml:space="preserve">Ponuda mora biti izražena u nacionalnoj valuti zemlje Naručitelja.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 xml:space="preserve">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w:t>
      </w:r>
      <w:r>
        <w:lastRenderedPageBreak/>
        <w:t>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2353C0E1" w:rsidR="008544E6" w:rsidRDefault="00B12B3B">
      <w:pPr>
        <w:pStyle w:val="Tijeloteksta"/>
        <w:spacing w:line="273" w:lineRule="auto"/>
        <w:ind w:left="113" w:right="147"/>
        <w:jc w:val="both"/>
      </w:pPr>
      <w:r>
        <w:t>Roba</w:t>
      </w:r>
      <w:r w:rsidR="00965D92">
        <w:t xml:space="preserve"> će se isporučivati </w:t>
      </w:r>
      <w:r w:rsidR="004946D6">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004946D6" w:rsidRPr="0081494E">
        <w:t>blika Hrvatska.</w:t>
      </w: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t xml:space="preserve">Rok </w:t>
      </w:r>
      <w:r>
        <w:rPr>
          <w:color w:val="2D74B5"/>
        </w:rPr>
        <w:t>isporuke robe</w:t>
      </w:r>
    </w:p>
    <w:p w14:paraId="2375643B" w14:textId="77777777" w:rsidR="00923D05" w:rsidRDefault="00923D05">
      <w:pPr>
        <w:pStyle w:val="Tijeloteksta"/>
        <w:spacing w:before="8"/>
        <w:rPr>
          <w:sz w:val="23"/>
        </w:rPr>
      </w:pPr>
    </w:p>
    <w:p w14:paraId="6992FDC7" w14:textId="0ACC9A21"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 xml:space="preserve">od dana narudžbe kupca. </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w:t>
      </w:r>
      <w:r>
        <w:lastRenderedPageBreak/>
        <w:t xml:space="preserve">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77777777" w:rsidR="00A93597" w:rsidRDefault="00A93597">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w:t>
      </w:r>
      <w:r>
        <w:lastRenderedPageBreak/>
        <w:t xml:space="preserve">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w:t>
      </w:r>
      <w:r>
        <w:lastRenderedPageBreak/>
        <w:t>početka postupka javne nabave.</w:t>
      </w:r>
    </w:p>
    <w:p w14:paraId="5581DAAA" w14:textId="71AE9FF8" w:rsidR="008544E6" w:rsidRDefault="008544E6">
      <w:pPr>
        <w:pStyle w:val="Tijeloteksta"/>
        <w:ind w:left="113" w:right="149"/>
        <w:jc w:val="both"/>
      </w:pPr>
    </w:p>
    <w:p w14:paraId="7EE9300D" w14:textId="77777777" w:rsidR="007B54D2" w:rsidRDefault="007B54D2">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3A0C0D94" w:rsidR="00C43D6E" w:rsidRDefault="00C43D6E" w:rsidP="00C43D6E">
      <w:pPr>
        <w:pStyle w:val="Odlomakpopisa"/>
        <w:numPr>
          <w:ilvl w:val="0"/>
          <w:numId w:val="4"/>
        </w:numPr>
        <w:tabs>
          <w:tab w:val="left" w:pos="474"/>
        </w:tabs>
      </w:pPr>
      <w:r>
        <w:rPr>
          <w:spacing w:val="-4"/>
        </w:rPr>
        <w:t xml:space="preserve">Troškovnik </w:t>
      </w:r>
      <w:r w:rsidR="007B54D2">
        <w:rPr>
          <w:spacing w:val="-4"/>
        </w:rPr>
        <w:t>u odnosu na grupu za koju se dostavlja ponuda</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36C7944D" w:rsidR="00923D05" w:rsidRDefault="004946D6" w:rsidP="00B12B3B">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404AA4">
        <w:t>04</w:t>
      </w:r>
      <w:r w:rsidR="005E35B6">
        <w:t>/20</w:t>
      </w:r>
      <w:r w:rsidR="00604DED">
        <w:t>2</w:t>
      </w:r>
      <w:r w:rsidR="002510B4">
        <w:t>3</w:t>
      </w:r>
      <w:r>
        <w:t xml:space="preserve">, naziv predmeta nabave: </w:t>
      </w:r>
      <w:r>
        <w:rPr>
          <w:spacing w:val="-3"/>
        </w:rPr>
        <w:t>„</w:t>
      </w:r>
      <w:r w:rsidR="00B12B3B" w:rsidRPr="00B12B3B">
        <w:rPr>
          <w:spacing w:val="-3"/>
        </w:rPr>
        <w:t>Potrošni materijal za opću upotrebu u molekularnom</w:t>
      </w:r>
      <w:r w:rsidR="00B12B3B">
        <w:rPr>
          <w:spacing w:val="-3"/>
        </w:rPr>
        <w:t xml:space="preserve"> </w:t>
      </w:r>
      <w:r w:rsidR="00B12B3B" w:rsidRPr="00B12B3B">
        <w:rPr>
          <w:spacing w:val="-3"/>
        </w:rPr>
        <w:t xml:space="preserve">laboratoriju </w:t>
      </w:r>
      <w:r w:rsidR="00404AA4">
        <w:rPr>
          <w:spacing w:val="-3"/>
        </w:rPr>
        <w:t>za</w:t>
      </w:r>
      <w:r w:rsidR="00B12B3B" w:rsidRPr="00B12B3B">
        <w:rPr>
          <w:spacing w:val="-3"/>
        </w:rPr>
        <w:t xml:space="preserve"> sekvencioniranj</w:t>
      </w:r>
      <w:r w:rsidR="00404AA4">
        <w:rPr>
          <w:spacing w:val="-3"/>
        </w:rPr>
        <w:t>e</w:t>
      </w:r>
      <w:r>
        <w:rPr>
          <w:spacing w:val="-3"/>
        </w:rPr>
        <w:t>“</w:t>
      </w:r>
      <w:r w:rsidR="00DC75EA">
        <w:rPr>
          <w:spacing w:val="-3"/>
        </w:rPr>
        <w:t>,</w:t>
      </w:r>
      <w:r>
        <w:rPr>
          <w:spacing w:val="-3"/>
        </w:rPr>
        <w:t xml:space="preserve"> </w:t>
      </w:r>
      <w:r w:rsidR="00570479" w:rsidRPr="00570479">
        <w:rPr>
          <w:spacing w:val="-3"/>
        </w:rPr>
        <w:t>naznaku grupe predmeta nabave</w:t>
      </w:r>
      <w:r w:rsidR="00570479">
        <w:rPr>
          <w:spacing w:val="-3"/>
        </w:rPr>
        <w:t>,</w:t>
      </w:r>
      <w:r w:rsidR="00570479" w:rsidRPr="00570479">
        <w:rPr>
          <w:spacing w:val="-3"/>
        </w:rPr>
        <w:t xml:space="preserve"> </w:t>
      </w:r>
      <w:r>
        <w:t>te naznak</w:t>
      </w:r>
      <w:r w:rsidR="00DC75EA">
        <w:t xml:space="preserve">u </w:t>
      </w:r>
      <w:r>
        <w:t>„NE OTVARAJ“.</w:t>
      </w:r>
      <w:r w:rsidR="00570479">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lastRenderedPageBreak/>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777777"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3BDFE20A" w:rsidR="00923D05" w:rsidRDefault="00570479">
      <w:pPr>
        <w:pStyle w:val="Tijeloteksta"/>
        <w:ind w:left="113" w:right="151"/>
        <w:jc w:val="both"/>
      </w:pPr>
      <w:r w:rsidRPr="00570479">
        <w:t>Cijena ponude iskazuje se za cjelokupan predmet nabave za koji ponuditelj daje ponudu (zbroj vrijednosti svih Grupa predmeta nabave za koje se ponuditelj prijavljuje).</w:t>
      </w:r>
      <w:r w:rsidR="004946D6">
        <w:rPr>
          <w:spacing w:val="-3"/>
        </w:rPr>
        <w:t xml:space="preserve"> </w:t>
      </w:r>
      <w:r w:rsidR="004946D6" w:rsidRPr="00264BD6">
        <w:rPr>
          <w:b/>
          <w:bCs/>
        </w:rPr>
        <w:t xml:space="preserve">Cijena ponude </w:t>
      </w:r>
      <w:r w:rsidR="004946D6" w:rsidRPr="00264BD6">
        <w:rPr>
          <w:b/>
          <w:bCs/>
          <w:spacing w:val="-3"/>
        </w:rPr>
        <w:t xml:space="preserve">izražava </w:t>
      </w:r>
      <w:r w:rsidR="004946D6" w:rsidRPr="00264BD6">
        <w:rPr>
          <w:b/>
          <w:bCs/>
        </w:rPr>
        <w:t xml:space="preserve">se u </w:t>
      </w:r>
      <w:r w:rsidR="007B54D2">
        <w:rPr>
          <w:b/>
          <w:bCs/>
        </w:rPr>
        <w:t>eurima</w:t>
      </w:r>
      <w:r w:rsidR="004946D6">
        <w:t>. Cijena ponude upisuje</w:t>
      </w:r>
      <w:r w:rsidR="004946D6">
        <w:rPr>
          <w:spacing w:val="-17"/>
        </w:rPr>
        <w:t xml:space="preserve"> </w:t>
      </w:r>
      <w:r w:rsidR="004946D6">
        <w:t>se</w:t>
      </w:r>
      <w:r w:rsidR="004946D6">
        <w:rPr>
          <w:spacing w:val="-15"/>
        </w:rPr>
        <w:t xml:space="preserve"> </w:t>
      </w:r>
      <w:r w:rsidR="004946D6">
        <w:t>brojkama</w:t>
      </w:r>
      <w:r w:rsidR="004946D6">
        <w:rPr>
          <w:spacing w:val="-16"/>
        </w:rPr>
        <w:t xml:space="preserve"> </w:t>
      </w:r>
      <w:r w:rsidR="004946D6">
        <w:t>sukladno</w:t>
      </w:r>
      <w:r w:rsidR="004946D6">
        <w:rPr>
          <w:spacing w:val="-14"/>
        </w:rPr>
        <w:t xml:space="preserve"> </w:t>
      </w:r>
      <w:r w:rsidR="004946D6">
        <w:t>Ponudbenom</w:t>
      </w:r>
      <w:r w:rsidR="004946D6">
        <w:rPr>
          <w:spacing w:val="-14"/>
        </w:rPr>
        <w:t xml:space="preserve"> </w:t>
      </w:r>
      <w:r w:rsidR="004946D6">
        <w:t>listu.</w:t>
      </w:r>
      <w:r w:rsidR="004946D6">
        <w:rPr>
          <w:spacing w:val="-14"/>
        </w:rPr>
        <w:t xml:space="preserve"> </w:t>
      </w:r>
      <w:r w:rsidR="004946D6">
        <w:t>Jedinična</w:t>
      </w:r>
      <w:r w:rsidR="004946D6">
        <w:rPr>
          <w:spacing w:val="-14"/>
        </w:rPr>
        <w:t xml:space="preserve"> </w:t>
      </w:r>
      <w:r w:rsidR="004946D6">
        <w:t>cijena</w:t>
      </w:r>
      <w:r w:rsidR="004946D6">
        <w:rPr>
          <w:spacing w:val="-14"/>
        </w:rPr>
        <w:t xml:space="preserve"> </w:t>
      </w:r>
      <w:r w:rsidR="004946D6">
        <w:rPr>
          <w:spacing w:val="-4"/>
        </w:rPr>
        <w:t>stavke</w:t>
      </w:r>
      <w:r w:rsidR="004946D6">
        <w:rPr>
          <w:spacing w:val="-15"/>
        </w:rPr>
        <w:t xml:space="preserve"> </w:t>
      </w:r>
      <w:r w:rsidR="004946D6">
        <w:t>bez</w:t>
      </w:r>
      <w:r w:rsidR="004946D6">
        <w:rPr>
          <w:spacing w:val="-14"/>
        </w:rPr>
        <w:t xml:space="preserve"> </w:t>
      </w:r>
      <w:r w:rsidR="004946D6">
        <w:rPr>
          <w:spacing w:val="-3"/>
        </w:rPr>
        <w:t>poreza</w:t>
      </w:r>
      <w:r w:rsidR="004946D6">
        <w:rPr>
          <w:spacing w:val="-17"/>
        </w:rPr>
        <w:t xml:space="preserve"> </w:t>
      </w:r>
      <w:r w:rsidR="004946D6">
        <w:t>na</w:t>
      </w:r>
      <w:r w:rsidR="004946D6">
        <w:rPr>
          <w:spacing w:val="-14"/>
        </w:rPr>
        <w:t xml:space="preserve"> </w:t>
      </w:r>
      <w:r w:rsidR="004946D6">
        <w:t>dodanu</w:t>
      </w:r>
      <w:r w:rsidR="004946D6">
        <w:rPr>
          <w:spacing w:val="-14"/>
        </w:rPr>
        <w:t xml:space="preserve"> </w:t>
      </w:r>
      <w:r w:rsidR="004946D6">
        <w:t>vrijednost</w:t>
      </w:r>
      <w:r w:rsidR="004946D6">
        <w:rPr>
          <w:spacing w:val="-16"/>
        </w:rPr>
        <w:t xml:space="preserve"> </w:t>
      </w:r>
      <w:r w:rsidR="004946D6">
        <w:t>(PDV) mora</w:t>
      </w:r>
      <w:r w:rsidR="004946D6">
        <w:rPr>
          <w:spacing w:val="-5"/>
        </w:rPr>
        <w:t xml:space="preserve"> </w:t>
      </w:r>
      <w:r w:rsidR="004946D6">
        <w:t>biti</w:t>
      </w:r>
      <w:r w:rsidR="004946D6">
        <w:rPr>
          <w:spacing w:val="-6"/>
        </w:rPr>
        <w:t xml:space="preserve"> </w:t>
      </w:r>
      <w:r w:rsidR="004946D6">
        <w:t>iskazana</w:t>
      </w:r>
      <w:r w:rsidR="004946D6">
        <w:rPr>
          <w:spacing w:val="-4"/>
        </w:rPr>
        <w:t xml:space="preserve"> </w:t>
      </w:r>
      <w:r w:rsidR="004946D6">
        <w:t>sa</w:t>
      </w:r>
      <w:r w:rsidR="004946D6">
        <w:rPr>
          <w:spacing w:val="-5"/>
        </w:rPr>
        <w:t xml:space="preserve"> </w:t>
      </w:r>
      <w:r w:rsidR="004946D6">
        <w:t>svim</w:t>
      </w:r>
      <w:r w:rsidR="004946D6">
        <w:rPr>
          <w:spacing w:val="-6"/>
        </w:rPr>
        <w:t xml:space="preserve"> </w:t>
      </w:r>
      <w:r w:rsidR="004946D6">
        <w:t>popustima</w:t>
      </w:r>
      <w:r w:rsidR="004946D6">
        <w:rPr>
          <w:spacing w:val="-4"/>
        </w:rPr>
        <w:t xml:space="preserve"> </w:t>
      </w:r>
      <w:r w:rsidR="004946D6">
        <w:t>i</w:t>
      </w:r>
      <w:r w:rsidR="004946D6">
        <w:rPr>
          <w:spacing w:val="-4"/>
        </w:rPr>
        <w:t xml:space="preserve"> </w:t>
      </w:r>
      <w:r w:rsidR="004946D6">
        <w:rPr>
          <w:spacing w:val="-3"/>
        </w:rPr>
        <w:t>troškovima</w:t>
      </w:r>
      <w:r w:rsidR="004946D6">
        <w:rPr>
          <w:spacing w:val="-7"/>
        </w:rPr>
        <w:t xml:space="preserve"> </w:t>
      </w:r>
      <w:r w:rsidR="004946D6">
        <w:t>na</w:t>
      </w:r>
      <w:r w:rsidR="004946D6">
        <w:rPr>
          <w:spacing w:val="-4"/>
        </w:rPr>
        <w:t xml:space="preserve"> </w:t>
      </w:r>
      <w:r w:rsidR="004946D6">
        <w:t>paritetu</w:t>
      </w:r>
      <w:r w:rsidR="004946D6">
        <w:rPr>
          <w:spacing w:val="-4"/>
        </w:rPr>
        <w:t xml:space="preserve"> </w:t>
      </w:r>
      <w:r w:rsidR="004946D6">
        <w:t>DAP-Isporučeno</w:t>
      </w:r>
      <w:r w:rsidR="004946D6">
        <w:rPr>
          <w:spacing w:val="-6"/>
        </w:rPr>
        <w:t xml:space="preserve"> </w:t>
      </w:r>
      <w:r w:rsidR="004946D6">
        <w:t>na</w:t>
      </w:r>
      <w:r w:rsidR="004946D6">
        <w:rPr>
          <w:spacing w:val="-7"/>
        </w:rPr>
        <w:t xml:space="preserve"> </w:t>
      </w:r>
      <w:r w:rsidR="004946D6">
        <w:t>adresu</w:t>
      </w:r>
      <w:r w:rsidR="004946D6">
        <w:rPr>
          <w:spacing w:val="-3"/>
        </w:rPr>
        <w:t xml:space="preserve"> </w:t>
      </w:r>
      <w:r w:rsidR="004946D6">
        <w:t>(sjedište</w:t>
      </w:r>
      <w:r w:rsidR="004946D6">
        <w:rPr>
          <w:spacing w:val="-7"/>
        </w:rPr>
        <w:t xml:space="preserve"> </w:t>
      </w:r>
      <w:r w:rsidR="004946D6">
        <w:t xml:space="preserve">Naručitelja) sukladno pravilima Međunarodne </w:t>
      </w:r>
      <w:r w:rsidR="004946D6">
        <w:rPr>
          <w:spacing w:val="-3"/>
        </w:rPr>
        <w:t xml:space="preserve">trgovačke </w:t>
      </w:r>
      <w:r w:rsidR="004946D6">
        <w:t>komore-INCOTERMS</w:t>
      </w:r>
      <w:r w:rsidR="004946D6">
        <w:rPr>
          <w:spacing w:val="-7"/>
        </w:rPr>
        <w:t xml:space="preserve"> </w:t>
      </w:r>
      <w:r w:rsidR="004946D6">
        <w:t>2010.</w:t>
      </w:r>
    </w:p>
    <w:p w14:paraId="72A9E0C0" w14:textId="65560076"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570479" w:rsidRPr="00570479">
        <w:t xml:space="preserve"> Troškovnik se ispunjava za svaku grupu posebno.</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Pl/Pt * </w:t>
      </w:r>
      <w:r w:rsidR="00694975">
        <w:t>9</w:t>
      </w:r>
      <w:r>
        <w:t>0</w:t>
      </w:r>
    </w:p>
    <w:p w14:paraId="1D59C193" w14:textId="77777777" w:rsidR="00923D05" w:rsidRDefault="004946D6">
      <w:pPr>
        <w:pStyle w:val="Tijeloteksta"/>
        <w:ind w:left="113" w:right="4725"/>
      </w:pPr>
      <w:r>
        <w:t>P – broj bodova koji je ponuda dobila za cjenovni kriterij Pl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2F5C8975" w:rsidR="00694975" w:rsidRDefault="00A16183" w:rsidP="00694975">
      <w:r>
        <w:t xml:space="preserve">c) </w:t>
      </w:r>
      <w:r w:rsidR="00694975">
        <w:t>isporuka od 21 - 30 dana od dana svake pojedine narudžbe = 0  bodova</w:t>
      </w:r>
    </w:p>
    <w:p w14:paraId="0C121823" w14:textId="2D34A6E5" w:rsidR="00570479" w:rsidRDefault="00570479" w:rsidP="00694975"/>
    <w:p w14:paraId="57F37129" w14:textId="77777777" w:rsidR="00570479" w:rsidRDefault="00570479" w:rsidP="00694975"/>
    <w:p w14:paraId="0AD1BC9C" w14:textId="2C753C29" w:rsidR="00BC1BBB" w:rsidRDefault="00BC1BBB" w:rsidP="00BC1BBB"/>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203E5D5B" w14:textId="77777777" w:rsidR="00A16183" w:rsidRDefault="00A16183">
      <w:pPr>
        <w:pStyle w:val="Tijeloteksta"/>
        <w:ind w:left="113"/>
      </w:pPr>
    </w:p>
    <w:p w14:paraId="1E67AB75" w14:textId="77777777" w:rsidR="00923D05" w:rsidRDefault="00923D05">
      <w:pPr>
        <w:pStyle w:val="Tijeloteksta"/>
      </w:pPr>
    </w:p>
    <w:p w14:paraId="0A29688C" w14:textId="77777777" w:rsidR="00923D05" w:rsidRDefault="00923D05">
      <w:pPr>
        <w:pStyle w:val="Tijeloteksta"/>
        <w:spacing w:before="6"/>
        <w:rPr>
          <w:sz w:val="25"/>
        </w:rPr>
      </w:pP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71018577"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B34DF8">
        <w:rPr>
          <w:b/>
          <w:spacing w:val="-2"/>
        </w:rPr>
        <w:t>14</w:t>
      </w:r>
      <w:r w:rsidRPr="00CA0C00">
        <w:rPr>
          <w:b/>
          <w:spacing w:val="-2"/>
        </w:rPr>
        <w:t xml:space="preserve">. </w:t>
      </w:r>
      <w:r w:rsidR="00570479">
        <w:rPr>
          <w:b/>
        </w:rPr>
        <w:t>0</w:t>
      </w:r>
      <w:r w:rsidR="00B12B3B">
        <w:rPr>
          <w:b/>
        </w:rPr>
        <w:t>8</w:t>
      </w:r>
      <w:r w:rsidRPr="00CA0C00">
        <w:rPr>
          <w:b/>
        </w:rPr>
        <w:t>. 20</w:t>
      </w:r>
      <w:r w:rsidR="00604DED">
        <w:rPr>
          <w:b/>
        </w:rPr>
        <w:t>2</w:t>
      </w:r>
      <w:r w:rsidR="002510B4">
        <w:rPr>
          <w:b/>
        </w:rPr>
        <w:t>3</w:t>
      </w:r>
      <w:r w:rsidRPr="00CA0C00">
        <w:rPr>
          <w:b/>
        </w:rPr>
        <w:t xml:space="preserve">. godine </w:t>
      </w:r>
      <w:r w:rsidR="00A2041E">
        <w:rPr>
          <w:b/>
        </w:rPr>
        <w:t>do</w:t>
      </w:r>
      <w:r w:rsidRPr="00CA0C00">
        <w:rPr>
          <w:b/>
        </w:rPr>
        <w:t xml:space="preserve"> </w:t>
      </w:r>
      <w:r w:rsidR="00FB06B4">
        <w:rPr>
          <w:b/>
        </w:rPr>
        <w:t>11</w:t>
      </w:r>
      <w:r w:rsidRPr="00CA0C00">
        <w:rPr>
          <w:b/>
        </w:rPr>
        <w:t>,00 sati</w:t>
      </w:r>
      <w:r>
        <w:t xml:space="preserve">. 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76A030A6" w:rsidR="00923D05" w:rsidRDefault="004946D6">
      <w:pPr>
        <w:pStyle w:val="Tijeloteksta"/>
        <w:spacing w:line="237" w:lineRule="auto"/>
        <w:ind w:left="113"/>
      </w:pPr>
      <w:r>
        <w:t xml:space="preserve">Postupak pregleda i ocjene ponuda obavit će </w:t>
      </w:r>
      <w:r w:rsidR="00403928">
        <w:t>Povjerenstvo</w:t>
      </w:r>
      <w:r>
        <w:t xml:space="preserve"> za nabavu imenovan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w:t>
      </w:r>
      <w:r>
        <w:lastRenderedPageBreak/>
        <w:t xml:space="preserve">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797302F3"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4C4529E0" w14:textId="77777777" w:rsidR="00841A77" w:rsidRDefault="00841A77" w:rsidP="00841A77">
      <w:pPr>
        <w:pStyle w:val="Odlomakpopisa"/>
        <w:tabs>
          <w:tab w:val="left" w:pos="821"/>
          <w:tab w:val="left" w:pos="822"/>
        </w:tabs>
        <w:spacing w:before="1"/>
        <w:ind w:left="113" w:right="155" w:firstLine="0"/>
      </w:pPr>
    </w:p>
    <w:p w14:paraId="169560DE" w14:textId="14644B1F" w:rsidR="00841A77" w:rsidRDefault="00841A77">
      <w:pPr>
        <w:pStyle w:val="Tijeloteksta"/>
      </w:pPr>
      <w:r>
        <w:t xml:space="preserve">Naručitelj </w:t>
      </w:r>
      <w:r w:rsidRPr="00841A77">
        <w:t>može odbiti ponudu čija je cijena veća od osiguranih sredstava za nabavu.</w:t>
      </w:r>
    </w:p>
    <w:p w14:paraId="605DB0EC" w14:textId="545CA6CA" w:rsidR="00923D05" w:rsidRDefault="004946D6" w:rsidP="00841A77">
      <w:pPr>
        <w:pStyle w:val="Tijeloteksta"/>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2E8E7D76"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7B54D2">
        <w:rPr>
          <w:color w:val="1F1F1F"/>
          <w:spacing w:val="-5"/>
        </w:rPr>
        <w:t>ovlaštene osobe naručitelja</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lastRenderedPageBreak/>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2F2B3F0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79FC9D09" w14:textId="77777777" w:rsidR="00923D05" w:rsidRDefault="00923D05">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1AF8" w14:textId="77777777" w:rsidR="001D450E" w:rsidRDefault="001D450E">
      <w:r>
        <w:separator/>
      </w:r>
    </w:p>
  </w:endnote>
  <w:endnote w:type="continuationSeparator" w:id="0">
    <w:p w14:paraId="1D6F947F" w14:textId="77777777" w:rsidR="001D450E" w:rsidRDefault="001D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59D5CE1B" w:rsidR="004946D6" w:rsidRDefault="00A55784">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1FAA0D88">
              <wp:simplePos x="0" y="0"/>
              <wp:positionH relativeFrom="page">
                <wp:posOffset>6663690</wp:posOffset>
              </wp:positionH>
              <wp:positionV relativeFrom="page">
                <wp:posOffset>10133330</wp:posOffset>
              </wp:positionV>
              <wp:extent cx="203200" cy="194310"/>
              <wp:effectExtent l="0" t="0" r="635" b="0"/>
              <wp:wrapNone/>
              <wp:docPr id="700325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6170" w14:textId="77777777" w:rsidR="001D450E" w:rsidRDefault="001D450E">
      <w:r>
        <w:separator/>
      </w:r>
    </w:p>
  </w:footnote>
  <w:footnote w:type="continuationSeparator" w:id="0">
    <w:p w14:paraId="08150983" w14:textId="77777777" w:rsidR="001D450E" w:rsidRDefault="001D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0"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1"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1"/>
  </w:num>
  <w:num w:numId="3" w16cid:durableId="1941598888">
    <w:abstractNumId w:val="3"/>
  </w:num>
  <w:num w:numId="4" w16cid:durableId="1657340822">
    <w:abstractNumId w:val="6"/>
  </w:num>
  <w:num w:numId="5" w16cid:durableId="2094546040">
    <w:abstractNumId w:val="2"/>
  </w:num>
  <w:num w:numId="6" w16cid:durableId="2018459449">
    <w:abstractNumId w:val="10"/>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1BD0"/>
    <w:rsid w:val="000039A1"/>
    <w:rsid w:val="000114F8"/>
    <w:rsid w:val="000752EB"/>
    <w:rsid w:val="00095D0C"/>
    <w:rsid w:val="000A5D47"/>
    <w:rsid w:val="000E2466"/>
    <w:rsid w:val="000E3D4F"/>
    <w:rsid w:val="00105932"/>
    <w:rsid w:val="00110D19"/>
    <w:rsid w:val="0011205C"/>
    <w:rsid w:val="00120B41"/>
    <w:rsid w:val="00127951"/>
    <w:rsid w:val="00137301"/>
    <w:rsid w:val="00154E57"/>
    <w:rsid w:val="00165F34"/>
    <w:rsid w:val="001942D1"/>
    <w:rsid w:val="001D450E"/>
    <w:rsid w:val="001D628E"/>
    <w:rsid w:val="001E1B0F"/>
    <w:rsid w:val="001F056B"/>
    <w:rsid w:val="001F477D"/>
    <w:rsid w:val="001F6D40"/>
    <w:rsid w:val="0021379B"/>
    <w:rsid w:val="00222F6B"/>
    <w:rsid w:val="002350FB"/>
    <w:rsid w:val="00236E52"/>
    <w:rsid w:val="002510B4"/>
    <w:rsid w:val="00260868"/>
    <w:rsid w:val="00261A58"/>
    <w:rsid w:val="00264BD6"/>
    <w:rsid w:val="0027466F"/>
    <w:rsid w:val="00283A47"/>
    <w:rsid w:val="00287195"/>
    <w:rsid w:val="00291742"/>
    <w:rsid w:val="003157CA"/>
    <w:rsid w:val="00326E1E"/>
    <w:rsid w:val="003304DE"/>
    <w:rsid w:val="0034351D"/>
    <w:rsid w:val="0035067C"/>
    <w:rsid w:val="003515C6"/>
    <w:rsid w:val="0035266C"/>
    <w:rsid w:val="003941B3"/>
    <w:rsid w:val="003B279B"/>
    <w:rsid w:val="003F4F73"/>
    <w:rsid w:val="00403928"/>
    <w:rsid w:val="00404AA4"/>
    <w:rsid w:val="00405FBF"/>
    <w:rsid w:val="00410CEF"/>
    <w:rsid w:val="00413BA4"/>
    <w:rsid w:val="00431162"/>
    <w:rsid w:val="00451106"/>
    <w:rsid w:val="00481568"/>
    <w:rsid w:val="00481721"/>
    <w:rsid w:val="004946D6"/>
    <w:rsid w:val="004B3264"/>
    <w:rsid w:val="004D5D19"/>
    <w:rsid w:val="004E1649"/>
    <w:rsid w:val="004F32C2"/>
    <w:rsid w:val="005106E7"/>
    <w:rsid w:val="00516091"/>
    <w:rsid w:val="00540DF4"/>
    <w:rsid w:val="00550C95"/>
    <w:rsid w:val="00560676"/>
    <w:rsid w:val="00570479"/>
    <w:rsid w:val="00582A35"/>
    <w:rsid w:val="005A4E56"/>
    <w:rsid w:val="005E35B6"/>
    <w:rsid w:val="005E3704"/>
    <w:rsid w:val="005F0BED"/>
    <w:rsid w:val="006034A8"/>
    <w:rsid w:val="00604DED"/>
    <w:rsid w:val="006615FB"/>
    <w:rsid w:val="00672D75"/>
    <w:rsid w:val="00694975"/>
    <w:rsid w:val="006D5EA8"/>
    <w:rsid w:val="006D6491"/>
    <w:rsid w:val="007142E9"/>
    <w:rsid w:val="00740D2D"/>
    <w:rsid w:val="00744EBC"/>
    <w:rsid w:val="00786D35"/>
    <w:rsid w:val="007955BF"/>
    <w:rsid w:val="007A284B"/>
    <w:rsid w:val="007B2ADD"/>
    <w:rsid w:val="007B54D2"/>
    <w:rsid w:val="007D19FF"/>
    <w:rsid w:val="007D45D6"/>
    <w:rsid w:val="007D7383"/>
    <w:rsid w:val="00804A50"/>
    <w:rsid w:val="0081494E"/>
    <w:rsid w:val="00823AD7"/>
    <w:rsid w:val="00841A77"/>
    <w:rsid w:val="00843EC2"/>
    <w:rsid w:val="008544E6"/>
    <w:rsid w:val="00871786"/>
    <w:rsid w:val="008A283D"/>
    <w:rsid w:val="008F61E0"/>
    <w:rsid w:val="0091219F"/>
    <w:rsid w:val="00922CDC"/>
    <w:rsid w:val="00923D05"/>
    <w:rsid w:val="009306F7"/>
    <w:rsid w:val="009315A2"/>
    <w:rsid w:val="00942A6B"/>
    <w:rsid w:val="00946681"/>
    <w:rsid w:val="009535D1"/>
    <w:rsid w:val="00965D92"/>
    <w:rsid w:val="009863CD"/>
    <w:rsid w:val="009864FB"/>
    <w:rsid w:val="009902DB"/>
    <w:rsid w:val="00991784"/>
    <w:rsid w:val="009B4073"/>
    <w:rsid w:val="009C3231"/>
    <w:rsid w:val="009F4E2D"/>
    <w:rsid w:val="00A02594"/>
    <w:rsid w:val="00A033D7"/>
    <w:rsid w:val="00A062CC"/>
    <w:rsid w:val="00A16183"/>
    <w:rsid w:val="00A2041E"/>
    <w:rsid w:val="00A55784"/>
    <w:rsid w:val="00A645EC"/>
    <w:rsid w:val="00A82C07"/>
    <w:rsid w:val="00A93597"/>
    <w:rsid w:val="00AC620F"/>
    <w:rsid w:val="00B11678"/>
    <w:rsid w:val="00B12B3B"/>
    <w:rsid w:val="00B23F9B"/>
    <w:rsid w:val="00B25133"/>
    <w:rsid w:val="00B34DF8"/>
    <w:rsid w:val="00B421C6"/>
    <w:rsid w:val="00B47B29"/>
    <w:rsid w:val="00B75126"/>
    <w:rsid w:val="00B80BAE"/>
    <w:rsid w:val="00B9167F"/>
    <w:rsid w:val="00BA03A7"/>
    <w:rsid w:val="00BB24CD"/>
    <w:rsid w:val="00BC1BBB"/>
    <w:rsid w:val="00BC590C"/>
    <w:rsid w:val="00BE7686"/>
    <w:rsid w:val="00C113C4"/>
    <w:rsid w:val="00C371A0"/>
    <w:rsid w:val="00C43D6E"/>
    <w:rsid w:val="00C45382"/>
    <w:rsid w:val="00C46371"/>
    <w:rsid w:val="00C75CB6"/>
    <w:rsid w:val="00C84611"/>
    <w:rsid w:val="00CA0C00"/>
    <w:rsid w:val="00D32719"/>
    <w:rsid w:val="00D71232"/>
    <w:rsid w:val="00D81E4D"/>
    <w:rsid w:val="00D9516D"/>
    <w:rsid w:val="00DA4E5C"/>
    <w:rsid w:val="00DC4452"/>
    <w:rsid w:val="00DC75EA"/>
    <w:rsid w:val="00E06B11"/>
    <w:rsid w:val="00E40D8A"/>
    <w:rsid w:val="00E51331"/>
    <w:rsid w:val="00E800C6"/>
    <w:rsid w:val="00EA34C2"/>
    <w:rsid w:val="00EB1263"/>
    <w:rsid w:val="00EE10C0"/>
    <w:rsid w:val="00EE72CE"/>
    <w:rsid w:val="00EF6387"/>
    <w:rsid w:val="00F25DC6"/>
    <w:rsid w:val="00F27A8E"/>
    <w:rsid w:val="00F30D4B"/>
    <w:rsid w:val="00F41A40"/>
    <w:rsid w:val="00F558B3"/>
    <w:rsid w:val="00F65985"/>
    <w:rsid w:val="00F70EB7"/>
    <w:rsid w:val="00F75F98"/>
    <w:rsid w:val="00FB06B4"/>
    <w:rsid w:val="00FB1B32"/>
    <w:rsid w:val="00FB304C"/>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6250</Words>
  <Characters>35629</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5</cp:revision>
  <cp:lastPrinted>2019-04-29T10:58:00Z</cp:lastPrinted>
  <dcterms:created xsi:type="dcterms:W3CDTF">2023-07-27T12:59:00Z</dcterms:created>
  <dcterms:modified xsi:type="dcterms:W3CDTF">2023-08-03T13:26:00Z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