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394"/>
      </w:tblGrid>
      <w:tr w:rsidR="00A61AF6" w:rsidRPr="001057F9" w14:paraId="6F50E1C5" w14:textId="77777777" w:rsidTr="00762E15">
        <w:trPr>
          <w:trHeight w:val="89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50E1C3" w14:textId="50FB0D04" w:rsidR="00A61AF6" w:rsidRPr="0021188E" w:rsidRDefault="00A61AF6" w:rsidP="00762E15">
            <w:pPr>
              <w:spacing w:after="0"/>
              <w:ind w:left="0"/>
              <w:jc w:val="left"/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</w:pPr>
            <w:r w:rsidRPr="0021188E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(</w:t>
            </w:r>
            <w:r w:rsidR="001743DA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Pr="0021188E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p</w:t>
            </w:r>
            <w:r w:rsidR="00A35E6E" w:rsidRPr="00A35E6E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eastAsia="en-US"/>
              </w:rPr>
              <w:t>Projekt</w:t>
            </w:r>
            <w:r w:rsidR="00A35E6E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eastAsia="en-US"/>
              </w:rPr>
              <w:t xml:space="preserve"> </w:t>
            </w:r>
            <w:r w:rsidR="00A35E6E" w:rsidRPr="00A35E6E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eastAsia="en-US"/>
              </w:rPr>
              <w:t xml:space="preserve"> je sufinanciran iz instrumenta </w:t>
            </w:r>
            <w:bookmarkStart w:id="0" w:name="_Hlk85542467"/>
            <w:r w:rsidR="00A35E6E" w:rsidRPr="00A35E6E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eastAsia="en-US"/>
              </w:rPr>
              <w:t>Pomoć za oporavak za koheziju i europska područja „REACT-EU“</w:t>
            </w:r>
            <w:bookmarkEnd w:id="0"/>
            <w:r w:rsidRPr="0021188E"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is i pečat ponuditelja</w:t>
            </w:r>
          </w:p>
          <w:p w14:paraId="6F50E1C4" w14:textId="69D7568C" w:rsidR="00A61AF6" w:rsidRPr="00380C25" w:rsidRDefault="001E7EFB" w:rsidP="00762E15">
            <w:pPr>
              <w:pStyle w:val="Style2"/>
              <w:rPr>
                <w:rFonts w:asciiTheme="minorHAnsi" w:hAnsiTheme="minorHAnsi" w:cs="Arial"/>
                <w:bCs w:val="0"/>
                <w:color w:val="000000"/>
                <w:sz w:val="22"/>
                <w:szCs w:val="22"/>
              </w:rPr>
            </w:pPr>
            <w:r w:rsidRPr="00380C25">
              <w:rPr>
                <w:rFonts w:asciiTheme="minorHAnsi" w:hAnsiTheme="minorHAnsi" w:cs="Arial"/>
                <w:bCs w:val="0"/>
                <w:color w:val="000000"/>
                <w:sz w:val="22"/>
                <w:szCs w:val="22"/>
              </w:rPr>
              <w:t>PRILOG</w:t>
            </w:r>
            <w:r w:rsidR="00A61AF6" w:rsidRPr="00380C25">
              <w:rPr>
                <w:rFonts w:asciiTheme="minorHAnsi" w:hAnsiTheme="minorHAnsi" w:cs="Arial"/>
                <w:bCs w:val="0"/>
                <w:color w:val="000000"/>
                <w:sz w:val="22"/>
                <w:szCs w:val="22"/>
              </w:rPr>
              <w:t xml:space="preserve"> </w:t>
            </w:r>
            <w:r w:rsidR="009079CE">
              <w:rPr>
                <w:rFonts w:asciiTheme="minorHAnsi" w:hAnsiTheme="minorHAnsi" w:cs="Arial"/>
                <w:bCs w:val="0"/>
                <w:color w:val="000000"/>
                <w:sz w:val="22"/>
                <w:szCs w:val="22"/>
              </w:rPr>
              <w:t>3</w:t>
            </w:r>
            <w:r w:rsidR="00A61AF6" w:rsidRPr="00380C25">
              <w:rPr>
                <w:rFonts w:asciiTheme="minorHAnsi" w:hAnsiTheme="minorHAnsi" w:cs="Arial"/>
                <w:bCs w:val="0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5A78F447" w14:textId="77777777" w:rsidR="00214B1F" w:rsidRDefault="00214B1F" w:rsidP="00A61AF6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bookmarkStart w:id="1" w:name="_Hlk77080904"/>
    </w:p>
    <w:p w14:paraId="5339D449" w14:textId="77777777" w:rsidR="00214B1F" w:rsidRDefault="00214B1F" w:rsidP="00A61AF6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</w:p>
    <w:p w14:paraId="6F50E1C6" w14:textId="076B50D6" w:rsidR="00A61AF6" w:rsidRDefault="00A61AF6" w:rsidP="00A61AF6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r w:rsidRPr="00393243">
        <w:rPr>
          <w:rFonts w:asciiTheme="minorHAnsi" w:hAnsiTheme="minorHAnsi"/>
          <w:b/>
          <w:color w:val="auto"/>
          <w:lang w:eastAsia="hr-HR"/>
        </w:rPr>
        <w:t>IZJAVA PONUDITELJA</w:t>
      </w:r>
      <w:r w:rsidR="001E7EFB">
        <w:rPr>
          <w:rFonts w:asciiTheme="minorHAnsi" w:hAnsiTheme="minorHAnsi"/>
          <w:b/>
          <w:color w:val="auto"/>
          <w:lang w:eastAsia="hr-HR"/>
        </w:rPr>
        <w:t xml:space="preserve"> </w:t>
      </w:r>
    </w:p>
    <w:bookmarkEnd w:id="1"/>
    <w:p w14:paraId="6F50E1C7" w14:textId="77777777" w:rsidR="00A61AF6" w:rsidRPr="00393243" w:rsidRDefault="00A61AF6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6F50E1C8" w14:textId="1B3B81C6" w:rsidR="00A61AF6" w:rsidRDefault="00A61AF6" w:rsidP="00A61AF6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Naručitelj: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8E221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RAND SHIPYARD</w:t>
      </w:r>
      <w:r w:rsidR="00564A86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d.o.o.</w:t>
      </w:r>
    </w:p>
    <w:p w14:paraId="6F50E1C9" w14:textId="550F4BB5" w:rsidR="00A61AF6" w:rsidRPr="00393243" w:rsidRDefault="00A61AF6" w:rsidP="00A61AF6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Evidencijski broj nabave: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DA18C5" w:rsidRPr="00DA18C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EU-RAND-0</w:t>
      </w:r>
      <w:r w:rsidR="00AC76ED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6</w:t>
      </w:r>
    </w:p>
    <w:p w14:paraId="6F50E1CB" w14:textId="456BBAB3" w:rsidR="00A61AF6" w:rsidRDefault="00A61AF6" w:rsidP="009079CE">
      <w:pPr>
        <w:keepNext/>
        <w:keepLines/>
        <w:widowControl w:val="0"/>
        <w:suppressAutoHyphens w:val="0"/>
        <w:spacing w:after="0"/>
        <w:jc w:val="left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Predmet: </w:t>
      </w:r>
      <w:r w:rsidR="00BE7675" w:rsidRPr="00BE76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IZJAVA PONUDITELJA u postupku nabave </w:t>
      </w:r>
      <w:r w:rsidR="00AC76ED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automatske lakirnice</w:t>
      </w:r>
      <w:r w:rsidR="00FA773D" w:rsidRPr="00FA773D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BE7675" w:rsidRPr="00BE76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(ev. br. </w:t>
      </w:r>
      <w:r w:rsidR="00FA773D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n</w:t>
      </w:r>
      <w:r w:rsidR="00BE7675" w:rsidRPr="00BE76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abave </w:t>
      </w:r>
      <w:r w:rsidR="00FA773D" w:rsidRPr="00FA773D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EU-RAND-0</w:t>
      </w:r>
      <w:r w:rsidR="00AC76ED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6</w:t>
      </w:r>
      <w:r w:rsidR="00BE7675" w:rsidRPr="00BE76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) u okviru projekta „</w:t>
      </w:r>
      <w:r w:rsidR="00286833" w:rsidRPr="0028683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Jačanje konkurentnosti poduzeća Rand Shipyard d.o.o. ulaganjima u</w:t>
      </w:r>
      <w:r w:rsidR="0028683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286833" w:rsidRPr="0028683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digitalnu i zelenu tranziciju</w:t>
      </w:r>
      <w:r w:rsidR="00BE7675" w:rsidRPr="00BE76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“ </w:t>
      </w:r>
      <w:r w:rsidR="009079CE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su</w:t>
      </w:r>
      <w:r w:rsidR="00FB7DCD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financiranog iz </w:t>
      </w:r>
      <w:r w:rsidR="009079CE" w:rsidRPr="009079CE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instrumenta Pomoć za oporavak za koheziju i europska područja „REACT-EU“ </w:t>
      </w:r>
      <w:r w:rsidR="00BE7675" w:rsidRPr="00BE76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(</w:t>
      </w:r>
      <w:r w:rsidR="0028683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referentni broj projekta </w:t>
      </w:r>
      <w:r w:rsidR="00286833" w:rsidRPr="0028683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KK.11.1.1.01.0469</w:t>
      </w:r>
      <w:r w:rsidR="00BE7675" w:rsidRPr="00BE76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)</w:t>
      </w:r>
      <w:r w:rsidR="009079CE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.</w:t>
      </w:r>
    </w:p>
    <w:p w14:paraId="4D9381BD" w14:textId="77777777" w:rsidR="00BE7675" w:rsidRDefault="00BE7675" w:rsidP="00A61AF6">
      <w:pPr>
        <w:keepNext/>
        <w:keepLines/>
        <w:widowControl w:val="0"/>
        <w:suppressAutoHyphens w:val="0"/>
        <w:spacing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</w:p>
    <w:p w14:paraId="6F50E1CC" w14:textId="698F6CD2" w:rsidR="00A61AF6" w:rsidRPr="003D5E42" w:rsidRDefault="00A61AF6" w:rsidP="00A61AF6">
      <w:pPr>
        <w:keepNext/>
        <w:keepLines/>
        <w:widowControl w:val="0"/>
        <w:suppressAutoHyphens w:val="0"/>
        <w:spacing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Kao odgovor na Vaš poziv na dostavu ponude, </w:t>
      </w:r>
      <w:r w:rsidR="00A671F4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ja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, niže potpisani, izjavljujem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pod materijalnom i kaznenom odgovornošću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da</w:t>
      </w:r>
      <w:r w:rsidRPr="003D5E42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:</w:t>
      </w:r>
    </w:p>
    <w:p w14:paraId="6F50E1CD" w14:textId="4A6D8BB8" w:rsidR="00A61AF6" w:rsidRPr="00393243" w:rsidRDefault="00A61AF6" w:rsidP="00425465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jc w:val="left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s</w:t>
      </w:r>
      <w:r w:rsidR="00146F56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am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pregleda</w:t>
      </w:r>
      <w:r w:rsidR="00146F56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o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, te u potpunosti prihvaćam sadržaj </w:t>
      </w:r>
      <w:r w:rsidR="006F70C1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Poziva za dostavu ponude i </w:t>
      </w: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dokumentacije za nadmetanje te ovime u potpunosti prihvaćam iste odredbe, bez rezervacija i ograničenja; </w:t>
      </w:r>
    </w:p>
    <w:p w14:paraId="6F50E1CE" w14:textId="53872D74" w:rsidR="00A61AF6" w:rsidRPr="00393243" w:rsidRDefault="00A61AF6" w:rsidP="00A61AF6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se </w:t>
      </w:r>
      <w:r w:rsidR="006F70C1">
        <w:rPr>
          <w:rFonts w:asciiTheme="minorHAnsi" w:hAnsiTheme="minorHAnsi" w:cs="Tahoma"/>
          <w:color w:val="auto"/>
          <w:sz w:val="22"/>
          <w:szCs w:val="22"/>
          <w:lang w:eastAsia="hr-HR"/>
        </w:rPr>
        <w:t>gospodarski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subjekt _______________________________________________________ ____________________________________ (naziv i sjedište gospodarskog subjekta), ____________________ (OIB) niti</w:t>
      </w:r>
      <w:r w:rsidR="001C517C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oso</w:t>
      </w:r>
      <w:r w:rsidR="002F37FB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be </w:t>
      </w:r>
      <w:r w:rsidR="00550F5A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po zakonu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ovlašten</w:t>
      </w:r>
      <w:r w:rsidR="002F37FB">
        <w:rPr>
          <w:rFonts w:asciiTheme="minorHAnsi" w:hAnsiTheme="minorHAnsi" w:cs="Tahoma"/>
          <w:color w:val="auto"/>
          <w:sz w:val="22"/>
          <w:szCs w:val="22"/>
          <w:lang w:eastAsia="hr-HR"/>
        </w:rPr>
        <w:t>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</w:t>
      </w:r>
      <w:r w:rsidR="00550F5A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za zastupanje </w:t>
      </w:r>
      <w:r w:rsidR="00965B4E">
        <w:rPr>
          <w:rFonts w:asciiTheme="minorHAnsi" w:hAnsiTheme="minorHAnsi" w:cs="Tahoma"/>
          <w:color w:val="auto"/>
          <w:sz w:val="22"/>
          <w:szCs w:val="22"/>
          <w:lang w:eastAsia="hr-HR"/>
        </w:rPr>
        <w:t>ponuditelja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_____________________________________________________________</w:t>
      </w:r>
      <w:r w:rsidR="006F70C1">
        <w:rPr>
          <w:rFonts w:asciiTheme="minorHAnsi" w:hAnsiTheme="minorHAnsi" w:cs="Tahoma"/>
          <w:color w:val="auto"/>
          <w:sz w:val="22"/>
          <w:szCs w:val="22"/>
          <w:lang w:eastAsia="hr-HR"/>
        </w:rPr>
        <w:t>_______</w:t>
      </w:r>
      <w:r w:rsidR="00965B4E">
        <w:rPr>
          <w:rFonts w:asciiTheme="minorHAnsi" w:hAnsiTheme="minorHAnsi" w:cs="Tahoma"/>
          <w:color w:val="auto"/>
          <w:sz w:val="22"/>
          <w:szCs w:val="22"/>
          <w:lang w:eastAsia="hr-HR"/>
        </w:rPr>
        <w:t>__________________________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(navesti</w:t>
      </w:r>
      <w:r w:rsidR="006F70C1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ime</w:t>
      </w:r>
      <w:r w:rsidR="00D36A9B">
        <w:rPr>
          <w:rFonts w:asciiTheme="minorHAnsi" w:hAnsiTheme="minorHAnsi" w:cs="Tahoma"/>
          <w:color w:val="auto"/>
          <w:sz w:val="22"/>
          <w:szCs w:val="22"/>
          <w:lang w:eastAsia="hr-HR"/>
        </w:rPr>
        <w:t>na i</w:t>
      </w:r>
      <w:r w:rsidR="006F70C1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prezime</w:t>
      </w:r>
      <w:r w:rsidR="00513266">
        <w:rPr>
          <w:rFonts w:asciiTheme="minorHAnsi" w:hAnsiTheme="minorHAnsi" w:cs="Tahoma"/>
          <w:color w:val="auto"/>
          <w:sz w:val="22"/>
          <w:szCs w:val="22"/>
          <w:lang w:eastAsia="hr-HR"/>
        </w:rPr>
        <w:t>na</w:t>
      </w:r>
      <w:r w:rsidR="006F70C1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</w:t>
      </w:r>
      <w:r w:rsidR="00054E01">
        <w:rPr>
          <w:rFonts w:asciiTheme="minorHAnsi" w:hAnsiTheme="minorHAnsi" w:cs="Tahoma"/>
          <w:color w:val="auto"/>
          <w:sz w:val="22"/>
          <w:szCs w:val="22"/>
          <w:lang w:eastAsia="hr-HR"/>
        </w:rPr>
        <w:t>te</w:t>
      </w:r>
      <w:r w:rsidR="006F70C1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OIB</w:t>
      </w:r>
      <w:r w:rsidR="00513266">
        <w:rPr>
          <w:rFonts w:asciiTheme="minorHAnsi" w:hAnsiTheme="minorHAnsi" w:cs="Tahoma"/>
          <w:color w:val="auto"/>
          <w:sz w:val="22"/>
          <w:szCs w:val="22"/>
          <w:lang w:eastAsia="hr-HR"/>
        </w:rPr>
        <w:t>-e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) </w:t>
      </w:r>
      <w:r w:rsidRPr="00393243">
        <w:rPr>
          <w:rFonts w:asciiTheme="minorHAnsi" w:hAnsiTheme="minorHAnsi" w:cs="Tahoma"/>
          <w:b/>
          <w:color w:val="auto"/>
          <w:sz w:val="22"/>
          <w:szCs w:val="22"/>
          <w:lang w:eastAsia="hr-HR"/>
        </w:rPr>
        <w:t>ne nalaze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ni u jednoj od sljedećih situacija:</w:t>
      </w:r>
    </w:p>
    <w:p w14:paraId="6F50E1CF" w14:textId="77777777" w:rsidR="00A61AF6" w:rsidRPr="00393243" w:rsidRDefault="00A61AF6" w:rsidP="00A61AF6">
      <w:pPr>
        <w:suppressAutoHyphens w:val="0"/>
        <w:spacing w:after="200" w:line="264" w:lineRule="auto"/>
        <w:ind w:left="714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14:paraId="6F50E1D0" w14:textId="01BBE276" w:rsidR="00A61AF6" w:rsidRDefault="00A61AF6" w:rsidP="00A61AF6">
      <w:pPr>
        <w:numPr>
          <w:ilvl w:val="0"/>
          <w:numId w:val="2"/>
        </w:numPr>
        <w:suppressAutoHyphens w:val="0"/>
        <w:spacing w:line="264" w:lineRule="auto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je </w:t>
      </w:r>
      <w:r w:rsidR="00CC1606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pravomoćno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osuđen za</w:t>
      </w:r>
      <w:r w:rsidR="00D27DDC" w:rsidRPr="00D27DDC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bilo koje od sljedećih kaznenih djela odnosno za odgovarajuća kaznena djela prema propisima države sjedišta ponuditelja ili države čiji je državljanin osoba ovlaštena po zakonu za zastupanje ponuditelja:</w:t>
      </w:r>
    </w:p>
    <w:p w14:paraId="1FEB777A" w14:textId="53E29BB8" w:rsidR="00E96B35" w:rsidRDefault="00E96B35" w:rsidP="00E96B35">
      <w:pPr>
        <w:pStyle w:val="ListParagraph"/>
        <w:numPr>
          <w:ilvl w:val="0"/>
          <w:numId w:val="3"/>
        </w:numPr>
        <w:suppressAutoHyphens w:val="0"/>
        <w:spacing w:line="264" w:lineRule="auto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E96B35">
        <w:rPr>
          <w:rFonts w:asciiTheme="minorHAnsi" w:hAnsiTheme="minorHAnsi" w:cs="Tahoma"/>
          <w:color w:val="auto"/>
          <w:sz w:val="22"/>
          <w:szCs w:val="22"/>
          <w:lang w:eastAsia="hr-HR"/>
        </w:rPr>
        <w:t>Sudjelovanje u zločinačkoj organizaciji, zločinačko udruženje, počinjenje kaznenog djela u sastavu zločinačkog udruženja, udruživanje za počinjenje kaznenih djela, terorizam ili kaznena djela povezana s terorističkim aktivnostima, pranje novca ili financiranje terorizma, dječji rad ili druge oblike trgovanja ljudima, korupcija, primanje mita u gospodarskom poslovanju, davanje mita u gospodarskom poslovanju, zloup</w:t>
      </w:r>
      <w:r w:rsidR="003D5E42">
        <w:rPr>
          <w:rFonts w:asciiTheme="minorHAnsi" w:hAnsiTheme="minorHAnsi" w:cs="Tahoma"/>
          <w:color w:val="auto"/>
          <w:sz w:val="22"/>
          <w:szCs w:val="22"/>
          <w:lang w:eastAsia="hr-HR"/>
        </w:rPr>
        <w:t>o</w:t>
      </w:r>
      <w:r w:rsidRPr="00E96B35">
        <w:rPr>
          <w:rFonts w:asciiTheme="minorHAnsi" w:hAnsiTheme="minorHAnsi" w:cs="Tahoma"/>
          <w:color w:val="auto"/>
          <w:sz w:val="22"/>
          <w:szCs w:val="22"/>
          <w:lang w:eastAsia="hr-HR"/>
        </w:rPr>
        <w:t>raba u postupku javne nabave, zlouporaba položaja i ovlasti, nezakonito pogodovanje, primanje mita, davanje mita, trgovanje utjecajem, davanje mita za trgovanje utjecajem, zlouporaba obavljanja dužnosti državne vlasti, protuzakonito posredovanje, prijevara, prijevara u gospodarskom poslovanju, utaja poreza ili carine, subvencijska prijevara</w:t>
      </w:r>
      <w:r w:rsidR="002246BB">
        <w:rPr>
          <w:rFonts w:asciiTheme="minorHAnsi" w:hAnsiTheme="minorHAnsi" w:cs="Tahoma"/>
          <w:color w:val="auto"/>
          <w:sz w:val="22"/>
          <w:szCs w:val="22"/>
          <w:lang w:eastAsia="hr-HR"/>
        </w:rPr>
        <w:t>;</w:t>
      </w:r>
    </w:p>
    <w:p w14:paraId="436CD70E" w14:textId="77777777" w:rsidR="00225C03" w:rsidRDefault="00225C03" w:rsidP="00225C03">
      <w:pPr>
        <w:suppressAutoHyphens w:val="0"/>
        <w:spacing w:line="264" w:lineRule="auto"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14:paraId="1BC408C8" w14:textId="77777777" w:rsidR="00225C03" w:rsidRDefault="00225C03" w:rsidP="00225C03">
      <w:pPr>
        <w:suppressAutoHyphens w:val="0"/>
        <w:spacing w:line="264" w:lineRule="auto"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14:paraId="4F81FBCA" w14:textId="77777777" w:rsidR="00225C03" w:rsidRDefault="00225C03" w:rsidP="00225C03">
      <w:pPr>
        <w:suppressAutoHyphens w:val="0"/>
        <w:spacing w:line="264" w:lineRule="auto"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14:paraId="07CDDCDC" w14:textId="77777777" w:rsidR="00225C03" w:rsidRPr="00225C03" w:rsidRDefault="00225C03" w:rsidP="00225C03">
      <w:pPr>
        <w:suppressAutoHyphens w:val="0"/>
        <w:spacing w:line="264" w:lineRule="auto"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14:paraId="672DDFBA" w14:textId="77777777" w:rsidR="002246BB" w:rsidRPr="00E96B35" w:rsidRDefault="002246BB" w:rsidP="002246BB">
      <w:pPr>
        <w:pStyle w:val="ListParagraph"/>
        <w:suppressAutoHyphens w:val="0"/>
        <w:spacing w:line="264" w:lineRule="auto"/>
        <w:ind w:left="1440"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14:paraId="41230A29" w14:textId="77777777" w:rsidR="002246BB" w:rsidRPr="002246BB" w:rsidRDefault="002246BB" w:rsidP="002246BB">
      <w:pPr>
        <w:pStyle w:val="ListParagraph"/>
        <w:numPr>
          <w:ilvl w:val="0"/>
          <w:numId w:val="2"/>
        </w:numPr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2246BB">
        <w:rPr>
          <w:rFonts w:asciiTheme="minorHAnsi" w:hAnsiTheme="minorHAnsi" w:cs="Tahoma"/>
          <w:color w:val="auto"/>
          <w:sz w:val="22"/>
          <w:szCs w:val="22"/>
          <w:lang w:eastAsia="hr-HR"/>
        </w:rPr>
        <w:t>Nije ispunio obvezu isplate plaća zaposlenicima, plaćanja doprinosa za financiranje obveznih osiguranja (osobito zdravstveno ili mirovinsko) ili plaćanje poreza u skladu s propisima Republike Hrvatske kao države u kojoj je osnovan ponuditelj, u skladu s propisima države poslovnog nastana ponuditelja (ako oni nemaju poslovni nastan u Republici Hrvatskoj), osim ako je u skladu s posebnim pravilima odobrena odgoda plaćanja navedenih obveza te ako mu iznos dospjelih, a neplaćenih obveza nije veći od 200 kuna</w:t>
      </w:r>
    </w:p>
    <w:p w14:paraId="6F50E1D2" w14:textId="602C16F2" w:rsidR="00A61AF6" w:rsidRPr="00393243" w:rsidRDefault="00214B1F" w:rsidP="00A61AF6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214B1F">
        <w:rPr>
          <w:rFonts w:asciiTheme="minorHAnsi" w:hAnsiTheme="minorHAnsi" w:cs="Tahoma"/>
          <w:color w:val="auto"/>
          <w:sz w:val="22"/>
          <w:szCs w:val="22"/>
          <w:lang w:eastAsia="hr-HR"/>
        </w:rPr>
        <w:t>je lažno izjavljivao, predstavio ili pružio neistinite podatke u vezi s uvjetima koje je NOJN (Naručitelj) naveo kao neophodne</w:t>
      </w:r>
    </w:p>
    <w:p w14:paraId="6F50E1D5" w14:textId="071E6692" w:rsidR="00A61AF6" w:rsidRDefault="00A61AF6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3451A789" w14:textId="3B950AF6" w:rsidR="00214B1F" w:rsidRDefault="00214B1F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FD25130" w14:textId="228185C4" w:rsidR="00214B1F" w:rsidRDefault="00214B1F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DF5762F" w14:textId="2CC3DBF1" w:rsidR="00214B1F" w:rsidRDefault="00214B1F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0059EA4B" w14:textId="77777777" w:rsidR="00225C03" w:rsidRDefault="00225C03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3F3CF03A" w14:textId="77777777" w:rsidR="00225C03" w:rsidRDefault="00225C03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5A0F7BC" w14:textId="77777777" w:rsidR="00225C03" w:rsidRDefault="00225C03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694F9C42" w14:textId="77777777" w:rsidR="00225C03" w:rsidRDefault="00225C03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280A713" w14:textId="77777777" w:rsidR="00F10F42" w:rsidRDefault="00F10F42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239F0545" w14:textId="77777777" w:rsidR="00F10F42" w:rsidRDefault="00F10F42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70D9717B" w14:textId="60E38015" w:rsidR="00214B1F" w:rsidRDefault="00214B1F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12B57DF9" w14:textId="77777777" w:rsidR="00214B1F" w:rsidRPr="00393243" w:rsidRDefault="00214B1F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6F50E1D6" w14:textId="77777777" w:rsidR="00A61AF6" w:rsidRPr="00393243" w:rsidRDefault="00A61AF6" w:rsidP="00A61AF6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r w:rsidRPr="00393243">
        <w:rPr>
          <w:rFonts w:asciiTheme="minorHAnsi" w:hAnsiTheme="minorHAnsi"/>
          <w:color w:val="auto"/>
          <w:sz w:val="22"/>
          <w:lang w:eastAsia="hr-HR"/>
        </w:rPr>
        <w:t>U ________________, _______________ godine.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3508"/>
        <w:gridCol w:w="5355"/>
      </w:tblGrid>
      <w:tr w:rsidR="00A61AF6" w:rsidRPr="001057F9" w14:paraId="6F50E1D9" w14:textId="77777777" w:rsidTr="00762E15">
        <w:trPr>
          <w:trHeight w:val="1432"/>
        </w:trPr>
        <w:tc>
          <w:tcPr>
            <w:tcW w:w="3652" w:type="dxa"/>
            <w:shd w:val="clear" w:color="auto" w:fill="auto"/>
          </w:tcPr>
          <w:p w14:paraId="6F50E1D7" w14:textId="77777777" w:rsidR="00A61AF6" w:rsidRPr="00393243" w:rsidRDefault="00A61AF6" w:rsidP="00762E15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5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50E1D8" w14:textId="77777777" w:rsidR="00A61AF6" w:rsidRPr="00393243" w:rsidRDefault="00A61AF6" w:rsidP="00762E15">
            <w:pPr>
              <w:suppressAutoHyphens w:val="0"/>
              <w:spacing w:before="20" w:after="20"/>
              <w:ind w:left="0"/>
              <w:jc w:val="left"/>
              <w:rPr>
                <w:rFonts w:asciiTheme="minorHAnsi" w:eastAsia="Calibri" w:hAnsiTheme="minorHAnsi" w:cs="Tahoma"/>
                <w:bCs/>
                <w:color w:val="auto"/>
                <w:lang w:eastAsia="hr-HR"/>
              </w:rPr>
            </w:pPr>
          </w:p>
        </w:tc>
      </w:tr>
      <w:tr w:rsidR="00A61AF6" w:rsidRPr="001057F9" w14:paraId="6F50E1DC" w14:textId="77777777" w:rsidTr="00762E15">
        <w:tc>
          <w:tcPr>
            <w:tcW w:w="3652" w:type="dxa"/>
            <w:shd w:val="clear" w:color="auto" w:fill="auto"/>
          </w:tcPr>
          <w:p w14:paraId="6F50E1DA" w14:textId="77777777" w:rsidR="00A61AF6" w:rsidRPr="00393243" w:rsidRDefault="00A61AF6" w:rsidP="00762E15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0E1DB" w14:textId="77777777" w:rsidR="00A61AF6" w:rsidRPr="00393243" w:rsidRDefault="00A61AF6" w:rsidP="00762E15">
            <w:pPr>
              <w:suppressAutoHyphens w:val="0"/>
              <w:spacing w:line="276" w:lineRule="auto"/>
              <w:ind w:left="0"/>
              <w:jc w:val="center"/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</w:pP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(potpis ovlaštene osobe za zastupanje</w:t>
            </w:r>
            <w:r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 xml:space="preserve"> i pečat</w:t>
            </w: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)</w:t>
            </w:r>
          </w:p>
        </w:tc>
      </w:tr>
    </w:tbl>
    <w:p w14:paraId="6F50E1DD" w14:textId="77777777" w:rsidR="008E509B" w:rsidRDefault="008E509B"/>
    <w:sectPr w:rsidR="008E50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1E1C" w14:textId="77777777" w:rsidR="00B93B89" w:rsidRDefault="00B93B89" w:rsidP="000C0F9C">
      <w:pPr>
        <w:spacing w:after="0"/>
      </w:pPr>
      <w:r>
        <w:separator/>
      </w:r>
    </w:p>
  </w:endnote>
  <w:endnote w:type="continuationSeparator" w:id="0">
    <w:p w14:paraId="54BD6805" w14:textId="77777777" w:rsidR="00B93B89" w:rsidRDefault="00B93B89" w:rsidP="000C0F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1C68" w14:textId="77777777" w:rsidR="00B93B89" w:rsidRDefault="00B93B89" w:rsidP="000C0F9C">
      <w:pPr>
        <w:spacing w:after="0"/>
      </w:pPr>
      <w:r>
        <w:separator/>
      </w:r>
    </w:p>
  </w:footnote>
  <w:footnote w:type="continuationSeparator" w:id="0">
    <w:p w14:paraId="0AEEB42E" w14:textId="77777777" w:rsidR="00B93B89" w:rsidRDefault="00B93B89" w:rsidP="000C0F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1AF6" w14:textId="4DFE9685" w:rsidR="000C0F9C" w:rsidRDefault="00A57793">
    <w:pPr>
      <w:pStyle w:val="Header"/>
    </w:pPr>
    <w:r w:rsidRPr="00161575">
      <w:rPr>
        <w:rFonts w:asciiTheme="majorBidi" w:eastAsia="Calibri" w:hAnsiTheme="majorBidi" w:cstheme="maj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AE155F7" wp14:editId="5E20BBF1">
          <wp:simplePos x="0" y="0"/>
          <wp:positionH relativeFrom="margin">
            <wp:posOffset>0</wp:posOffset>
          </wp:positionH>
          <wp:positionV relativeFrom="page">
            <wp:posOffset>2413</wp:posOffset>
          </wp:positionV>
          <wp:extent cx="5760720" cy="998855"/>
          <wp:effectExtent l="0" t="0" r="0" b="0"/>
          <wp:wrapThrough wrapText="bothSides">
            <wp:wrapPolygon edited="0">
              <wp:start x="0" y="0"/>
              <wp:lineTo x="0" y="21010"/>
              <wp:lineTo x="21500" y="21010"/>
              <wp:lineTo x="21500" y="0"/>
              <wp:lineTo x="0" y="0"/>
            </wp:wrapPolygon>
          </wp:wrapThrough>
          <wp:docPr id="1" name="Picture 1" descr="Text&#10;Ovaj poziv se financira iz instrumenta Pomoć za oporavak za koheziju i europska područja „REACT-EU”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Ovaj poziv se financira iz instrumenta Pomoć za oporavak za koheziju i europska područja „REACT-EU”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F38"/>
    <w:multiLevelType w:val="hybridMultilevel"/>
    <w:tmpl w:val="9CF26622"/>
    <w:lvl w:ilvl="0" w:tplc="1E90EAC8">
      <w:start w:val="7"/>
      <w:numFmt w:val="bullet"/>
      <w:lvlText w:val="-"/>
      <w:lvlJc w:val="left"/>
      <w:pPr>
        <w:ind w:left="1440" w:hanging="360"/>
      </w:pPr>
      <w:rPr>
        <w:rFonts w:ascii="Calibri" w:eastAsiaTheme="maj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452494">
    <w:abstractNumId w:val="0"/>
  </w:num>
  <w:num w:numId="2" w16cid:durableId="1130826489">
    <w:abstractNumId w:val="2"/>
  </w:num>
  <w:num w:numId="3" w16cid:durableId="285475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AF6"/>
    <w:rsid w:val="00054E01"/>
    <w:rsid w:val="00080239"/>
    <w:rsid w:val="00082A5B"/>
    <w:rsid w:val="000909AB"/>
    <w:rsid w:val="000C0F9C"/>
    <w:rsid w:val="00146F56"/>
    <w:rsid w:val="001743DA"/>
    <w:rsid w:val="001A3B4A"/>
    <w:rsid w:val="001C517C"/>
    <w:rsid w:val="001E7EFB"/>
    <w:rsid w:val="00214B1F"/>
    <w:rsid w:val="002246BB"/>
    <w:rsid w:val="00225C03"/>
    <w:rsid w:val="00255495"/>
    <w:rsid w:val="00286833"/>
    <w:rsid w:val="002F37FB"/>
    <w:rsid w:val="00380C25"/>
    <w:rsid w:val="003D5E42"/>
    <w:rsid w:val="00401D6D"/>
    <w:rsid w:val="00412EED"/>
    <w:rsid w:val="00425465"/>
    <w:rsid w:val="00513266"/>
    <w:rsid w:val="00550F5A"/>
    <w:rsid w:val="00564A86"/>
    <w:rsid w:val="00587220"/>
    <w:rsid w:val="00674445"/>
    <w:rsid w:val="006F70C1"/>
    <w:rsid w:val="00747597"/>
    <w:rsid w:val="007C71BF"/>
    <w:rsid w:val="00831A32"/>
    <w:rsid w:val="00870271"/>
    <w:rsid w:val="008E2213"/>
    <w:rsid w:val="008E4F63"/>
    <w:rsid w:val="008E509B"/>
    <w:rsid w:val="009079CE"/>
    <w:rsid w:val="00965B4E"/>
    <w:rsid w:val="00973C22"/>
    <w:rsid w:val="00974D04"/>
    <w:rsid w:val="00A21BF4"/>
    <w:rsid w:val="00A35E6E"/>
    <w:rsid w:val="00A57793"/>
    <w:rsid w:val="00A61AF6"/>
    <w:rsid w:val="00A671F4"/>
    <w:rsid w:val="00AC76ED"/>
    <w:rsid w:val="00B5247F"/>
    <w:rsid w:val="00B9153E"/>
    <w:rsid w:val="00B93B89"/>
    <w:rsid w:val="00BE7675"/>
    <w:rsid w:val="00CC1606"/>
    <w:rsid w:val="00D27DDC"/>
    <w:rsid w:val="00D36A9B"/>
    <w:rsid w:val="00DA18C5"/>
    <w:rsid w:val="00E01702"/>
    <w:rsid w:val="00E96B35"/>
    <w:rsid w:val="00F10F42"/>
    <w:rsid w:val="00F61114"/>
    <w:rsid w:val="00F75F20"/>
    <w:rsid w:val="00FA773D"/>
    <w:rsid w:val="00F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0E1C3"/>
  <w15:docId w15:val="{324DABD4-16B8-4FF1-82E3-9F84B7A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AF6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uiPriority w:val="99"/>
    <w:rsid w:val="00A61AF6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val="hr-HR" w:eastAsia="zh-CN"/>
    </w:rPr>
  </w:style>
  <w:style w:type="paragraph" w:styleId="ListParagraph">
    <w:name w:val="List Paragraph"/>
    <w:basedOn w:val="Normal"/>
    <w:uiPriority w:val="34"/>
    <w:qFormat/>
    <w:rsid w:val="00E96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F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0F9C"/>
    <w:rPr>
      <w:rFonts w:ascii="Arial" w:eastAsia="Times New Roman" w:hAnsi="Arial" w:cs="Arial"/>
      <w:color w:val="00000A"/>
      <w:sz w:val="24"/>
      <w:szCs w:val="24"/>
      <w:lang w:val="hr-HR" w:eastAsia="zh-CN"/>
    </w:rPr>
  </w:style>
  <w:style w:type="paragraph" w:styleId="Footer">
    <w:name w:val="footer"/>
    <w:basedOn w:val="Normal"/>
    <w:link w:val="FooterChar"/>
    <w:uiPriority w:val="99"/>
    <w:unhideWhenUsed/>
    <w:rsid w:val="000C0F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0F9C"/>
    <w:rPr>
      <w:rFonts w:ascii="Arial" w:eastAsia="Times New Roman" w:hAnsi="Arial" w:cs="Arial"/>
      <w:color w:val="00000A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Tonci Lucic</cp:lastModifiedBy>
  <cp:revision>49</cp:revision>
  <dcterms:created xsi:type="dcterms:W3CDTF">2018-01-25T13:46:00Z</dcterms:created>
  <dcterms:modified xsi:type="dcterms:W3CDTF">2022-06-23T09:13:00Z</dcterms:modified>
</cp:coreProperties>
</file>