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631" w:type="pct"/>
        <w:tblInd w:w="-572" w:type="dxa"/>
        <w:tblLook w:val="04A0" w:firstRow="1" w:lastRow="0" w:firstColumn="1" w:lastColumn="0" w:noHBand="0" w:noVBand="1"/>
      </w:tblPr>
      <w:tblGrid>
        <w:gridCol w:w="4460"/>
        <w:gridCol w:w="5746"/>
      </w:tblGrid>
      <w:tr w:rsidR="009F39C0" w:rsidRPr="00670A9A" w14:paraId="744E1978" w14:textId="77777777" w:rsidTr="009431C1">
        <w:tc>
          <w:tcPr>
            <w:tcW w:w="5000" w:type="pct"/>
            <w:gridSpan w:val="2"/>
          </w:tcPr>
          <w:p w14:paraId="5B9EC08F" w14:textId="77777777" w:rsidR="009F39C0" w:rsidRPr="00C601E6" w:rsidRDefault="009F39C0" w:rsidP="009F3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392810" w:rsidRPr="00670A9A" w14:paraId="7FA6E236" w14:textId="77777777" w:rsidTr="009431C1">
        <w:tc>
          <w:tcPr>
            <w:tcW w:w="2185" w:type="pct"/>
          </w:tcPr>
          <w:p w14:paraId="73340388" w14:textId="13CD028D" w:rsidR="00392810" w:rsidRPr="00C601E6" w:rsidRDefault="00CF6628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2D786AD3" w14:textId="51D3CD8C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392810" w:rsidRPr="00670A9A" w14:paraId="796CCE1A" w14:textId="77777777" w:rsidTr="009431C1">
        <w:tc>
          <w:tcPr>
            <w:tcW w:w="2185" w:type="pct"/>
          </w:tcPr>
          <w:p w14:paraId="40412F59" w14:textId="0AC14A66" w:rsidR="00392810" w:rsidRPr="00C601E6" w:rsidRDefault="0039281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1FC23B61" w14:textId="1F2D9BC8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392810" w:rsidRPr="00670A9A" w14:paraId="211F3B1E" w14:textId="77777777" w:rsidTr="009431C1">
        <w:tc>
          <w:tcPr>
            <w:tcW w:w="2185" w:type="pct"/>
          </w:tcPr>
          <w:p w14:paraId="5E2BC1CA" w14:textId="77777777" w:rsidR="00392810" w:rsidRPr="00C601E6" w:rsidRDefault="0039281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15" w:type="pct"/>
          </w:tcPr>
          <w:p w14:paraId="4FB65672" w14:textId="3E7ABEFF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F01D1D" w:rsidRPr="00670A9A" w14:paraId="11DCDB62" w14:textId="77777777" w:rsidTr="009431C1">
        <w:tc>
          <w:tcPr>
            <w:tcW w:w="2185" w:type="pct"/>
          </w:tcPr>
          <w:p w14:paraId="462BB05C" w14:textId="77777777" w:rsidR="00F01D1D" w:rsidRPr="00C601E6" w:rsidRDefault="007A4167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15" w:type="pct"/>
          </w:tcPr>
          <w:p w14:paraId="151997AF" w14:textId="77777777" w:rsidR="00F01D1D" w:rsidRPr="00C601E6" w:rsidRDefault="003F6DC3" w:rsidP="003928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B32C26" w:rsidRPr="009B172D" w14:paraId="7AC4DA84" w14:textId="77777777" w:rsidTr="009431C1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9B172D" w:rsidRDefault="00ED5F1F" w:rsidP="003928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9B172D" w:rsidRDefault="00ED5F1F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</w:t>
            </w:r>
            <w:proofErr w:type="spellStart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isporučevina</w:t>
            </w:r>
            <w:proofErr w:type="spellEnd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promjene ciljeva,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B32C26" w:rsidRPr="009B172D" w14:paraId="65FDB844" w14:textId="77777777" w:rsidTr="009431C1">
        <w:tc>
          <w:tcPr>
            <w:tcW w:w="2185" w:type="pct"/>
          </w:tcPr>
          <w:p w14:paraId="6CFFFCC7" w14:textId="77777777" w:rsidR="00B32C26" w:rsidRPr="009B172D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15" w:type="pct"/>
          </w:tcPr>
          <w:p w14:paraId="33913DD4" w14:textId="77777777" w:rsidR="00B32C26" w:rsidRPr="009B172D" w:rsidRDefault="00B32C26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67C510B3" w14:textId="77777777" w:rsidTr="009431C1">
        <w:tc>
          <w:tcPr>
            <w:tcW w:w="2185" w:type="pct"/>
          </w:tcPr>
          <w:p w14:paraId="51930921" w14:textId="77777777" w:rsidR="00B32C26" w:rsidRPr="009B172D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15" w:type="pct"/>
          </w:tcPr>
          <w:p w14:paraId="10D21D91" w14:textId="77777777" w:rsidR="00B32C26" w:rsidRPr="009B172D" w:rsidRDefault="00B32C26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2BE85C82" w14:textId="77777777" w:rsidTr="009431C1">
        <w:tc>
          <w:tcPr>
            <w:tcW w:w="2185" w:type="pct"/>
          </w:tcPr>
          <w:p w14:paraId="0E1E98BE" w14:textId="77777777" w:rsidR="00B32C26" w:rsidRPr="009B172D" w:rsidRDefault="00EA6519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15" w:type="pct"/>
          </w:tcPr>
          <w:p w14:paraId="46D67236" w14:textId="77777777" w:rsidR="00B32C26" w:rsidRPr="009B172D" w:rsidRDefault="00B32C26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14:paraId="44C5CFB9" w14:textId="77777777" w:rsidTr="009431C1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9B172D" w:rsidRDefault="00256081" w:rsidP="003928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priroda operacije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ex-post praćenje</w:t>
            </w:r>
          </w:p>
          <w:p w14:paraId="67EE8734" w14:textId="00026D04" w:rsidR="00237865" w:rsidRPr="009B172D" w:rsidRDefault="00237865" w:rsidP="0025608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6519" w:rsidRPr="009B172D" w14:paraId="0BF30D5B" w14:textId="77777777" w:rsidTr="009431C1">
        <w:tc>
          <w:tcPr>
            <w:tcW w:w="2185" w:type="pct"/>
          </w:tcPr>
          <w:p w14:paraId="3A943E01" w14:textId="7336F478" w:rsidR="00EA6519" w:rsidRPr="009B172D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15" w:type="pct"/>
          </w:tcPr>
          <w:p w14:paraId="641B720B" w14:textId="77777777" w:rsidR="00EA6519" w:rsidRPr="009B172D" w:rsidRDefault="00A501EC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CF6628" w:rsidRPr="009B172D" w14:paraId="5AC02073" w14:textId="77777777" w:rsidTr="009431C1">
        <w:tc>
          <w:tcPr>
            <w:tcW w:w="2185" w:type="pct"/>
          </w:tcPr>
          <w:p w14:paraId="480AEBF7" w14:textId="36A21B9C" w:rsidR="00CF6628" w:rsidRPr="009B172D" w:rsidRDefault="00CF6628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15" w:type="pct"/>
          </w:tcPr>
          <w:p w14:paraId="660B4E1A" w14:textId="6F6ACF9E" w:rsidR="00CF6628" w:rsidRPr="009B172D" w:rsidRDefault="00D870BA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8C3970" w:rsidRPr="009B172D" w14:paraId="3C42FF85" w14:textId="77777777" w:rsidTr="009431C1">
        <w:tc>
          <w:tcPr>
            <w:tcW w:w="2185" w:type="pct"/>
          </w:tcPr>
          <w:p w14:paraId="22517666" w14:textId="42B79662" w:rsidR="008C3970" w:rsidRPr="00CF6628" w:rsidRDefault="008C397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15" w:type="pct"/>
          </w:tcPr>
          <w:p w14:paraId="2A37DDC1" w14:textId="261D0A76" w:rsidR="008C3970" w:rsidRDefault="00D870BA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69265D04" w14:textId="77777777" w:rsidR="00D0039B" w:rsidRPr="009B172D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0AF0D6A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34ABD7F8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Funkcionalnost </w:t>
            </w:r>
            <w:r w:rsidR="009431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0" w:type="auto"/>
          </w:tcPr>
          <w:p w14:paraId="495F8453" w14:textId="7837460E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Je li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funkcionaln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C6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 w:rsidSect="00B5723A">
      <w:headerReference w:type="default" r:id="rId11"/>
      <w:footerReference w:type="default" r:id="rId12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0DF0" w14:textId="77777777" w:rsidR="00562086" w:rsidRDefault="00562086" w:rsidP="009B470B">
      <w:pPr>
        <w:spacing w:after="0" w:line="240" w:lineRule="auto"/>
      </w:pPr>
      <w:r>
        <w:separator/>
      </w:r>
    </w:p>
  </w:endnote>
  <w:endnote w:type="continuationSeparator" w:id="0">
    <w:p w14:paraId="77C9D090" w14:textId="77777777" w:rsidR="00562086" w:rsidRDefault="00562086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7E94" w14:textId="0586B223" w:rsidR="00203FCE" w:rsidRPr="00A472E4" w:rsidRDefault="00203FCE">
    <w:pPr>
      <w:pStyle w:val="Footer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F21C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E332" w14:textId="77777777" w:rsidR="00562086" w:rsidRDefault="00562086" w:rsidP="009B470B">
      <w:pPr>
        <w:spacing w:after="0" w:line="240" w:lineRule="auto"/>
      </w:pPr>
      <w:r>
        <w:separator/>
      </w:r>
    </w:p>
  </w:footnote>
  <w:footnote w:type="continuationSeparator" w:id="0">
    <w:p w14:paraId="198A440A" w14:textId="77777777" w:rsidR="00562086" w:rsidRDefault="00562086" w:rsidP="009B470B">
      <w:pPr>
        <w:spacing w:after="0" w:line="240" w:lineRule="auto"/>
      </w:pPr>
      <w:r>
        <w:continuationSeparator/>
      </w:r>
    </w:p>
  </w:footnote>
  <w:footnote w:id="1">
    <w:p w14:paraId="1514D1DC" w14:textId="7A25E109" w:rsidR="009F39C0" w:rsidRPr="0048054E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Nadležno tijelo tijekom pripreme </w:t>
      </w:r>
      <w:r w:rsidR="00CF6628"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poziva na dodjelu bespovratnih financijskih sredstava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, čiji sastavni dio je obrazac Završnog izvješća, može pored navedenih točaka uvrstiti dodatne točke s dodatnim informacijama koje želi dobiti od korisnika u Završnom izvješću.</w:t>
      </w:r>
    </w:p>
    <w:p w14:paraId="5AC3A5F5" w14:textId="77777777" w:rsidR="009F39C0" w:rsidRPr="00896731" w:rsidRDefault="009F39C0" w:rsidP="009F39C0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FE99" w14:textId="77777777" w:rsidR="00B5723A" w:rsidRPr="005A6B69" w:rsidRDefault="00B5723A" w:rsidP="00B5723A">
    <w:pPr>
      <w:pStyle w:val="Header"/>
    </w:pPr>
    <w:r w:rsidRPr="0095702F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0225B1B" wp14:editId="110DD614">
          <wp:simplePos x="0" y="0"/>
          <wp:positionH relativeFrom="margin">
            <wp:posOffset>5015230</wp:posOffset>
          </wp:positionH>
          <wp:positionV relativeFrom="paragraph">
            <wp:posOffset>-835660</wp:posOffset>
          </wp:positionV>
          <wp:extent cx="1228725" cy="828675"/>
          <wp:effectExtent l="0" t="0" r="9525" b="9525"/>
          <wp:wrapNone/>
          <wp:docPr id="7" name="Slika 6" descr="A blue screen with yellow star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6" descr="A blue screen with yellow star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ADA8ABD" wp14:editId="0D096DD3">
              <wp:simplePos x="0" y="0"/>
              <wp:positionH relativeFrom="column">
                <wp:posOffset>4843780</wp:posOffset>
              </wp:positionH>
              <wp:positionV relativeFrom="paragraph">
                <wp:posOffset>5715</wp:posOffset>
              </wp:positionV>
              <wp:extent cx="1524000" cy="62865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8C225" w14:textId="77777777" w:rsidR="00B5723A" w:rsidRPr="00BC56BE" w:rsidRDefault="00B5723A" w:rsidP="00B5723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  <w:r w:rsidRPr="00BC56BE">
                            <w:rPr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EUROPSKA UNIJA</w:t>
                          </w:r>
                        </w:p>
                        <w:p w14:paraId="3FCCF5AF" w14:textId="77777777" w:rsidR="00B5723A" w:rsidRPr="00725FEC" w:rsidRDefault="00B5723A" w:rsidP="00B5723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Cs/>
                              <w:sz w:val="22"/>
                              <w:szCs w:val="22"/>
                            </w:rPr>
                          </w:pPr>
                          <w:r w:rsidRPr="00725FEC">
                            <w:rPr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Fond solidarnosti Europske unije</w:t>
                          </w:r>
                        </w:p>
                        <w:p w14:paraId="34FA1829" w14:textId="77777777" w:rsidR="00B5723A" w:rsidRDefault="00B5723A" w:rsidP="00B572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A8A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1.4pt;margin-top:.45pt;width:120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" stroked="f">
              <v:textbox>
                <w:txbxContent>
                  <w:p w14:paraId="5BC8C225" w14:textId="77777777" w:rsidR="00B5723A" w:rsidRPr="00BC56BE" w:rsidRDefault="00B5723A" w:rsidP="00B5723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BC56BE">
                      <w:rPr>
                        <w:b/>
                        <w:color w:val="000000" w:themeColor="text1"/>
                        <w:kern w:val="24"/>
                        <w:sz w:val="18"/>
                        <w:szCs w:val="18"/>
                      </w:rPr>
                      <w:t>EUROPSKA UNIJA</w:t>
                    </w:r>
                  </w:p>
                  <w:p w14:paraId="3FCCF5AF" w14:textId="77777777" w:rsidR="00B5723A" w:rsidRPr="00725FEC" w:rsidRDefault="00B5723A" w:rsidP="00B5723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725FEC">
                      <w:rPr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Fond solidarnosti Europske unije</w:t>
                    </w:r>
                  </w:p>
                  <w:p w14:paraId="34FA1829" w14:textId="77777777" w:rsidR="00B5723A" w:rsidRDefault="00B5723A" w:rsidP="00B5723A"/>
                </w:txbxContent>
              </v:textbox>
              <w10:wrap type="square"/>
            </v:shape>
          </w:pict>
        </mc:Fallback>
      </mc:AlternateContent>
    </w:r>
    <w:r w:rsidRPr="006C2953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DC6E01D" wp14:editId="119095AD">
          <wp:simplePos x="0" y="0"/>
          <wp:positionH relativeFrom="margin">
            <wp:posOffset>-280670</wp:posOffset>
          </wp:positionH>
          <wp:positionV relativeFrom="paragraph">
            <wp:posOffset>-883285</wp:posOffset>
          </wp:positionV>
          <wp:extent cx="1346835" cy="841375"/>
          <wp:effectExtent l="0" t="0" r="571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83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CAB8DB" wp14:editId="66228D70">
              <wp:simplePos x="0" y="0"/>
              <wp:positionH relativeFrom="column">
                <wp:posOffset>-566420</wp:posOffset>
              </wp:positionH>
              <wp:positionV relativeFrom="paragraph">
                <wp:posOffset>2540</wp:posOffset>
              </wp:positionV>
              <wp:extent cx="2038350" cy="7524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784A2" w14:textId="77777777" w:rsidR="00B5723A" w:rsidRPr="00BC56BE" w:rsidRDefault="00B5723A" w:rsidP="00B5723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  <w:r w:rsidRPr="00BC56BE">
                            <w:rPr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REPUBLIKA HRVATSKA</w:t>
                          </w:r>
                        </w:p>
                        <w:p w14:paraId="2F481BE3" w14:textId="77777777" w:rsidR="00B5723A" w:rsidRPr="00725FEC" w:rsidRDefault="00B5723A" w:rsidP="00B5723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Cs/>
                              <w:sz w:val="22"/>
                              <w:szCs w:val="22"/>
                            </w:rPr>
                          </w:pPr>
                          <w:r w:rsidRPr="00725FEC">
                            <w:rPr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Fond za obnovu Grada Zagreba, Krapinsko-zagorske županije i Zagrebačke županije</w:t>
                          </w:r>
                        </w:p>
                        <w:p w14:paraId="7C628F8E" w14:textId="77777777" w:rsidR="00B5723A" w:rsidRDefault="00B5723A" w:rsidP="00B572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CAB8DB" id="_x0000_s1027" type="#_x0000_t202" style="position:absolute;margin-left:-44.6pt;margin-top:.2pt;width:160.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" filled="f" stroked="f">
              <v:textbox>
                <w:txbxContent>
                  <w:p w14:paraId="661784A2" w14:textId="77777777" w:rsidR="00B5723A" w:rsidRPr="00BC56BE" w:rsidRDefault="00B5723A" w:rsidP="00B5723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BC56BE">
                      <w:rPr>
                        <w:b/>
                        <w:color w:val="000000" w:themeColor="text1"/>
                        <w:kern w:val="24"/>
                        <w:sz w:val="18"/>
                        <w:szCs w:val="18"/>
                      </w:rPr>
                      <w:t>REPUBLIKA HRVATSKA</w:t>
                    </w:r>
                  </w:p>
                  <w:p w14:paraId="2F481BE3" w14:textId="77777777" w:rsidR="00B5723A" w:rsidRPr="00725FEC" w:rsidRDefault="00B5723A" w:rsidP="00B5723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725FEC">
                      <w:rPr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Fond za obnovu Grada Zagreba, Krapinsko-zagorske županije i Zagrebačke županije</w:t>
                    </w:r>
                  </w:p>
                  <w:p w14:paraId="7C628F8E" w14:textId="77777777" w:rsidR="00B5723A" w:rsidRDefault="00B5723A" w:rsidP="00B5723A"/>
                </w:txbxContent>
              </v:textbox>
              <w10:wrap type="square"/>
            </v:shape>
          </w:pict>
        </mc:Fallback>
      </mc:AlternateContent>
    </w:r>
  </w:p>
  <w:p w14:paraId="3D740D92" w14:textId="77777777" w:rsidR="00B5723A" w:rsidRPr="00E33C76" w:rsidRDefault="00B5723A" w:rsidP="00B5723A">
    <w:pPr>
      <w:pStyle w:val="Header"/>
    </w:pPr>
  </w:p>
  <w:p w14:paraId="283979A6" w14:textId="77777777" w:rsidR="00B5723A" w:rsidRPr="00515A3D" w:rsidRDefault="00B5723A" w:rsidP="00B5723A">
    <w:pPr>
      <w:pStyle w:val="Header"/>
    </w:pPr>
  </w:p>
  <w:p w14:paraId="3FFCA674" w14:textId="77777777" w:rsidR="00B5723A" w:rsidRPr="00F006F6" w:rsidRDefault="00B5723A" w:rsidP="00B5723A">
    <w:pPr>
      <w:pStyle w:val="Header"/>
    </w:pPr>
  </w:p>
  <w:p w14:paraId="5A8A7F1D" w14:textId="77777777" w:rsidR="00B5723A" w:rsidRPr="00272948" w:rsidRDefault="00B5723A" w:rsidP="00B5723A">
    <w:pPr>
      <w:pStyle w:val="Header"/>
    </w:pPr>
  </w:p>
  <w:p w14:paraId="0E3B669C" w14:textId="77777777" w:rsidR="00B5723A" w:rsidRPr="00BA70C5" w:rsidRDefault="00B5723A" w:rsidP="00B5723A">
    <w:pPr>
      <w:pStyle w:val="Header"/>
    </w:pPr>
  </w:p>
  <w:p w14:paraId="6EA02117" w14:textId="77777777" w:rsidR="00B5723A" w:rsidRPr="00E73894" w:rsidRDefault="00B5723A" w:rsidP="00B5723A">
    <w:pPr>
      <w:pStyle w:val="Header"/>
    </w:pPr>
  </w:p>
  <w:p w14:paraId="0205ABD3" w14:textId="77777777" w:rsidR="002A4401" w:rsidRDefault="002A4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6"/>
    <w:rsid w:val="00010547"/>
    <w:rsid w:val="00011AA8"/>
    <w:rsid w:val="00036171"/>
    <w:rsid w:val="00051908"/>
    <w:rsid w:val="001070A9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1E07E1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B483A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3659B"/>
    <w:rsid w:val="0044469A"/>
    <w:rsid w:val="00457F3D"/>
    <w:rsid w:val="0048054E"/>
    <w:rsid w:val="004966ED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62086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41B98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A4713"/>
    <w:rsid w:val="006B48AB"/>
    <w:rsid w:val="006B7A20"/>
    <w:rsid w:val="006C12AC"/>
    <w:rsid w:val="006D2858"/>
    <w:rsid w:val="006E5CD3"/>
    <w:rsid w:val="00715FF7"/>
    <w:rsid w:val="007560E7"/>
    <w:rsid w:val="00797CED"/>
    <w:rsid w:val="007A049D"/>
    <w:rsid w:val="007A4167"/>
    <w:rsid w:val="007B0D19"/>
    <w:rsid w:val="007E1CEE"/>
    <w:rsid w:val="007F21C8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431C1"/>
    <w:rsid w:val="009675CB"/>
    <w:rsid w:val="00997388"/>
    <w:rsid w:val="009B172D"/>
    <w:rsid w:val="009B470B"/>
    <w:rsid w:val="009C331E"/>
    <w:rsid w:val="009C6F20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5723A"/>
    <w:rsid w:val="00B71710"/>
    <w:rsid w:val="00B97D75"/>
    <w:rsid w:val="00BE2076"/>
    <w:rsid w:val="00C335F9"/>
    <w:rsid w:val="00C37B7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EE3D21"/>
    <w:rsid w:val="00F01D1D"/>
    <w:rsid w:val="00F12E4E"/>
    <w:rsid w:val="00F24BAC"/>
    <w:rsid w:val="00F3215B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B71710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rsid w:val="00B5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751923EA5F542A13D97F8CC32DF51" ma:contentTypeVersion="12" ma:contentTypeDescription="Stvaranje novog dokumenta." ma:contentTypeScope="" ma:versionID="b10041cd63f21d6d3855d76abe8a89ed">
  <xsd:schema xmlns:xsd="http://www.w3.org/2001/XMLSchema" xmlns:xs="http://www.w3.org/2001/XMLSchema" xmlns:p="http://schemas.microsoft.com/office/2006/metadata/properties" xmlns:ns2="2a10e296-f976-45be-a41e-10e6ca8f2b5f" xmlns:ns3="d439ffd0-4ee3-4e38-b3bc-a248ff5cc3a9" targetNamespace="http://schemas.microsoft.com/office/2006/metadata/properties" ma:root="true" ma:fieldsID="16bf6125ce77e3e2f98aaa52be466106" ns2:_="" ns3:_="">
    <xsd:import namespace="2a10e296-f976-45be-a41e-10e6ca8f2b5f"/>
    <xsd:import namespace="d439ffd0-4ee3-4e38-b3bc-a248ff5cc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0e296-f976-45be-a41e-10e6ca8f2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ffd0-4ee3-4e38-b3bc-a248ff5cc3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E0DFA-5F26-4BA5-98FD-41EECD188E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0CD056D-926D-4936-ACA5-8499C5553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0e296-f976-45be-a41e-10e6ca8f2b5f"/>
    <ds:schemaRef ds:uri="d439ffd0-4ee3-4e38-b3bc-a248ff5cc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2021-01-19T08:41:00Z</dcterms:created>
  <dcterms:modified xsi:type="dcterms:W3CDTF">2022-03-03T10:37:00Z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0x010100050751923EA5F542A13D97F8CC32DF51</vt:lpwstr>
  </property>
</Properties>
</file>