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64035F"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7F2F9495"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00E02A56">
        <w:rPr>
          <w:rFonts w:ascii="Times New Roman" w:hAnsi="Times New Roman" w:cs="Times New Roman"/>
          <w:b/>
          <w:sz w:val="18"/>
          <w:szCs w:val="18"/>
        </w:rPr>
        <w:t>)</w:t>
      </w:r>
      <w:r w:rsidR="00EA0EA3">
        <w:rPr>
          <w:rFonts w:ascii="Times New Roman" w:hAnsi="Times New Roman" w:cs="Times New Roman"/>
          <w:b/>
          <w:sz w:val="18"/>
          <w:szCs w:val="18"/>
        </w:rPr>
        <w:t>25</w:t>
      </w:r>
      <w:r w:rsidR="00E02A56">
        <w:rPr>
          <w:rFonts w:ascii="Times New Roman" w:hAnsi="Times New Roman" w:cs="Times New Roman"/>
          <w:b/>
          <w:sz w:val="18"/>
          <w:szCs w:val="18"/>
        </w:rPr>
        <w:t>.02.2022.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992"/>
        <w:gridCol w:w="5670"/>
        <w:gridCol w:w="6946"/>
      </w:tblGrid>
      <w:tr w:rsidR="00461F02" w:rsidRPr="00EC7F45" w14:paraId="4DF658F4" w14:textId="77777777" w:rsidTr="006916B6">
        <w:trPr>
          <w:trHeight w:val="433"/>
        </w:trPr>
        <w:tc>
          <w:tcPr>
            <w:tcW w:w="992" w:type="dxa"/>
            <w:shd w:val="clear" w:color="auto" w:fill="C5E0B3" w:themeFill="accent6" w:themeFillTint="66"/>
          </w:tcPr>
          <w:p w14:paraId="21A57E76" w14:textId="77777777" w:rsidR="00461F02" w:rsidRPr="00EC7F45" w:rsidRDefault="00461F02" w:rsidP="00313FE4">
            <w:pPr>
              <w:jc w:val="center"/>
              <w:rPr>
                <w:b/>
                <w:lang w:val="hr-HR"/>
              </w:rPr>
            </w:pPr>
          </w:p>
        </w:tc>
        <w:tc>
          <w:tcPr>
            <w:tcW w:w="5670"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6916B6">
        <w:trPr>
          <w:trHeight w:val="433"/>
        </w:trPr>
        <w:tc>
          <w:tcPr>
            <w:tcW w:w="992" w:type="dxa"/>
            <w:shd w:val="clear" w:color="auto" w:fill="C5E0B3" w:themeFill="accent6" w:themeFillTint="66"/>
          </w:tcPr>
          <w:p w14:paraId="7EBF774E" w14:textId="77777777" w:rsidR="002A5212" w:rsidRPr="00EC7F45" w:rsidRDefault="002A5212" w:rsidP="00313FE4">
            <w:pPr>
              <w:jc w:val="center"/>
              <w:rPr>
                <w:b/>
                <w:lang w:val="hr-HR"/>
              </w:rPr>
            </w:pPr>
          </w:p>
        </w:tc>
        <w:tc>
          <w:tcPr>
            <w:tcW w:w="5670"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6916B6">
        <w:trPr>
          <w:trHeight w:val="433"/>
        </w:trPr>
        <w:tc>
          <w:tcPr>
            <w:tcW w:w="992"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F437EE7" w14:textId="779D64B4" w:rsidR="001421EB" w:rsidRPr="00EC7F45" w:rsidRDefault="00324620" w:rsidP="00EA0EA3">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EA0EA3">
              <w:rPr>
                <w:b/>
                <w:color w:val="FFFFFF" w:themeColor="background1"/>
                <w:sz w:val="22"/>
                <w:szCs w:val="22"/>
                <w:lang w:val="hr-HR"/>
              </w:rPr>
              <w:t>16</w:t>
            </w:r>
            <w:r w:rsidR="00F7353F">
              <w:rPr>
                <w:b/>
                <w:color w:val="FFFFFF" w:themeColor="background1"/>
                <w:sz w:val="22"/>
                <w:szCs w:val="22"/>
                <w:lang w:val="hr-HR"/>
              </w:rPr>
              <w:t>.02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5D644217" w:rsidR="001421EB" w:rsidRPr="00EC7F45" w:rsidRDefault="00324620" w:rsidP="00EA0EA3">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EA0EA3">
              <w:rPr>
                <w:b/>
                <w:color w:val="FFFFFF" w:themeColor="background1"/>
                <w:sz w:val="22"/>
                <w:szCs w:val="22"/>
                <w:lang w:val="hr-HR"/>
              </w:rPr>
              <w:t>23</w:t>
            </w:r>
            <w:r w:rsidR="00BC56D0">
              <w:rPr>
                <w:b/>
                <w:color w:val="FFFFFF" w:themeColor="background1"/>
                <w:sz w:val="22"/>
                <w:szCs w:val="22"/>
                <w:lang w:val="hr-HR"/>
              </w:rPr>
              <w:t>.02.2022.</w:t>
            </w:r>
          </w:p>
        </w:tc>
      </w:tr>
      <w:tr w:rsidR="001421EB" w:rsidRPr="00EC7F45" w14:paraId="0DB6FC75" w14:textId="77777777" w:rsidTr="001451E3">
        <w:trPr>
          <w:trHeight w:val="343"/>
        </w:trPr>
        <w:tc>
          <w:tcPr>
            <w:tcW w:w="992" w:type="dxa"/>
            <w:vAlign w:val="center"/>
          </w:tcPr>
          <w:p w14:paraId="31ECE4DD" w14:textId="21773CD9" w:rsidR="001421EB" w:rsidRPr="006916B6" w:rsidRDefault="001421EB" w:rsidP="006916B6">
            <w:pPr>
              <w:pStyle w:val="ListParagraph"/>
              <w:numPr>
                <w:ilvl w:val="0"/>
                <w:numId w:val="27"/>
              </w:numPr>
              <w:tabs>
                <w:tab w:val="left" w:pos="176"/>
              </w:tabs>
              <w:rPr>
                <w:b/>
                <w:lang w:val="hr-HR"/>
              </w:rPr>
            </w:pPr>
          </w:p>
        </w:tc>
        <w:tc>
          <w:tcPr>
            <w:tcW w:w="5670" w:type="dxa"/>
          </w:tcPr>
          <w:p w14:paraId="6814D14B" w14:textId="06BF6D9C" w:rsidR="001421EB" w:rsidRPr="001D6652" w:rsidRDefault="00EA0EA3" w:rsidP="00A844F4">
            <w:pPr>
              <w:rPr>
                <w:sz w:val="22"/>
                <w:szCs w:val="22"/>
                <w:lang w:val="hr-HR"/>
              </w:rPr>
            </w:pPr>
            <w:r w:rsidRPr="00EA0EA3">
              <w:rPr>
                <w:sz w:val="22"/>
                <w:szCs w:val="22"/>
                <w:lang w:val="hr-HR"/>
              </w:rPr>
              <w:t xml:space="preserve">Nastavno na objavljeni POZIV ZA VRAĆANJE U ISPRAVNO RADNO STANJE INFRASTRUKTURE I POGONA U PODRUČJU PRIJEVOZA OŠTEĆENIH U POTRESU zanima nas da li je HŽ Putnički prijevoz prihvatljiv prijavitelj s obzirom da nije 100% vlasnik oštećenih objekata. </w:t>
            </w:r>
          </w:p>
        </w:tc>
        <w:tc>
          <w:tcPr>
            <w:tcW w:w="6946" w:type="dxa"/>
            <w:shd w:val="clear" w:color="auto" w:fill="auto"/>
          </w:tcPr>
          <w:p w14:paraId="5B7892B0" w14:textId="77777777" w:rsidR="00EA0EA3" w:rsidRPr="00EA0EA3" w:rsidRDefault="00EA0EA3" w:rsidP="00EA0EA3">
            <w:pPr>
              <w:jc w:val="both"/>
              <w:rPr>
                <w:sz w:val="22"/>
                <w:szCs w:val="22"/>
                <w:lang w:val="hr-HR"/>
              </w:rPr>
            </w:pPr>
            <w:r w:rsidRPr="00EA0EA3">
              <w:rPr>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3BA04B7F" w14:textId="77777777" w:rsidR="00EA0EA3" w:rsidRPr="00EA0EA3" w:rsidRDefault="00EA0EA3" w:rsidP="00EA0EA3">
            <w:pPr>
              <w:jc w:val="both"/>
              <w:rPr>
                <w:sz w:val="22"/>
                <w:szCs w:val="22"/>
                <w:lang w:val="hr-HR"/>
              </w:rPr>
            </w:pPr>
          </w:p>
          <w:p w14:paraId="4CDCBD8F" w14:textId="65512781" w:rsidR="001451E3" w:rsidRPr="001451E3" w:rsidRDefault="00EA0EA3" w:rsidP="00EA0EA3">
            <w:pPr>
              <w:jc w:val="both"/>
              <w:rPr>
                <w:sz w:val="22"/>
                <w:szCs w:val="22"/>
                <w:lang w:val="hr-HR"/>
              </w:rPr>
            </w:pPr>
            <w:r>
              <w:rPr>
                <w:sz w:val="22"/>
                <w:szCs w:val="22"/>
                <w:lang w:val="hr-HR"/>
              </w:rPr>
              <w:t>Prihvat</w:t>
            </w:r>
            <w:bookmarkStart w:id="0" w:name="_GoBack"/>
            <w:bookmarkEnd w:id="0"/>
            <w:r>
              <w:rPr>
                <w:sz w:val="22"/>
                <w:szCs w:val="22"/>
                <w:lang w:val="hr-HR"/>
              </w:rPr>
              <w:t xml:space="preserve">ljivost prijavitelja definirana je  u </w:t>
            </w:r>
            <w:r w:rsidRPr="00EA0EA3">
              <w:rPr>
                <w:sz w:val="22"/>
                <w:szCs w:val="22"/>
                <w:lang w:val="hr-HR"/>
              </w:rPr>
              <w:t>Uputama za prijavitelje</w:t>
            </w:r>
            <w:r>
              <w:rPr>
                <w:sz w:val="22"/>
                <w:szCs w:val="22"/>
                <w:lang w:val="hr-HR"/>
              </w:rPr>
              <w:t xml:space="preserve"> u točki 2.1. Prihvatljivost prijavitelja, a uvjeti koje Operacija mora zadovoljiti da bi bila </w:t>
            </w:r>
            <w:r>
              <w:rPr>
                <w:sz w:val="22"/>
                <w:szCs w:val="22"/>
                <w:lang w:val="hr-HR"/>
              </w:rPr>
              <w:lastRenderedPageBreak/>
              <w:t xml:space="preserve">prihvatljiva definirani su u Uputama za prijavitelje u točki 2.6. Prihvatljivost operacije. </w:t>
            </w:r>
            <w:r w:rsidRPr="00EA0EA3">
              <w:rPr>
                <w:sz w:val="22"/>
                <w:szCs w:val="22"/>
                <w:lang w:val="hr-HR"/>
              </w:rPr>
              <w:t xml:space="preserve"> </w:t>
            </w:r>
          </w:p>
          <w:p w14:paraId="01AE1061" w14:textId="6A879405" w:rsidR="001421EB" w:rsidRPr="00EC7F45" w:rsidRDefault="001421EB" w:rsidP="001451E3">
            <w:pPr>
              <w:jc w:val="both"/>
              <w:rPr>
                <w:sz w:val="22"/>
                <w:szCs w:val="22"/>
                <w:lang w:val="hr-HR"/>
              </w:rPr>
            </w:pPr>
          </w:p>
        </w:tc>
      </w:tr>
    </w:tbl>
    <w:p w14:paraId="33AB22B8" w14:textId="77777777" w:rsidR="00573921" w:rsidRDefault="00573921" w:rsidP="00573921">
      <w:pPr>
        <w:spacing w:after="0" w:line="240" w:lineRule="auto"/>
        <w:jc w:val="both"/>
        <w:rPr>
          <w:rFonts w:ascii="Times New Roman" w:hAnsi="Times New Roman" w:cs="Times New Roman"/>
          <w:sz w:val="24"/>
          <w:szCs w:val="24"/>
        </w:rPr>
      </w:pPr>
    </w:p>
    <w:p w14:paraId="475FBB72" w14:textId="77777777" w:rsidR="00573921" w:rsidRDefault="00573921" w:rsidP="00573921">
      <w:pPr>
        <w:spacing w:after="0" w:line="240" w:lineRule="auto"/>
        <w:jc w:val="both"/>
        <w:rPr>
          <w:rFonts w:ascii="Times New Roman" w:hAnsi="Times New Roman" w:cs="Times New Roman"/>
          <w:sz w:val="24"/>
          <w:szCs w:val="24"/>
        </w:rPr>
      </w:pPr>
    </w:p>
    <w:p w14:paraId="3EA6CCA5" w14:textId="77777777" w:rsidR="00573921" w:rsidRDefault="00573921" w:rsidP="00573921">
      <w:pPr>
        <w:spacing w:after="0" w:line="240" w:lineRule="auto"/>
        <w:jc w:val="both"/>
        <w:rPr>
          <w:rFonts w:ascii="Times New Roman" w:hAnsi="Times New Roman" w:cs="Times New Roman"/>
          <w:sz w:val="24"/>
          <w:szCs w:val="24"/>
        </w:rPr>
      </w:pPr>
    </w:p>
    <w:p w14:paraId="2005B3AE" w14:textId="77777777" w:rsidR="00573921" w:rsidRDefault="00573921" w:rsidP="00573921">
      <w:pPr>
        <w:spacing w:after="0" w:line="240" w:lineRule="auto"/>
        <w:jc w:val="both"/>
        <w:rPr>
          <w:rFonts w:ascii="Times New Roman" w:hAnsi="Times New Roman" w:cs="Times New Roman"/>
          <w:sz w:val="24"/>
          <w:szCs w:val="24"/>
        </w:rPr>
      </w:pPr>
    </w:p>
    <w:p w14:paraId="04A53A92" w14:textId="77777777" w:rsidR="00573921" w:rsidRDefault="00573921" w:rsidP="00573921">
      <w:pPr>
        <w:spacing w:after="0" w:line="240" w:lineRule="auto"/>
        <w:jc w:val="both"/>
        <w:rPr>
          <w:rFonts w:ascii="Times New Roman" w:hAnsi="Times New Roman" w:cs="Times New Roman"/>
          <w:sz w:val="24"/>
          <w:szCs w:val="24"/>
        </w:rPr>
      </w:pPr>
    </w:p>
    <w:p w14:paraId="51C4AF21" w14:textId="77777777" w:rsidR="00573921" w:rsidRDefault="00573921" w:rsidP="00573921">
      <w:pPr>
        <w:spacing w:after="0" w:line="240" w:lineRule="auto"/>
        <w:jc w:val="both"/>
        <w:rPr>
          <w:rFonts w:ascii="Times New Roman" w:hAnsi="Times New Roman" w:cs="Times New Roman"/>
          <w:sz w:val="24"/>
          <w:szCs w:val="24"/>
        </w:rPr>
      </w:pPr>
    </w:p>
    <w:p w14:paraId="017F78C2" w14:textId="77777777" w:rsidR="00573921" w:rsidRDefault="00573921" w:rsidP="00573921">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E942" w14:textId="77777777" w:rsidR="0064035F" w:rsidRDefault="0064035F" w:rsidP="00FC265C">
      <w:pPr>
        <w:spacing w:after="0" w:line="240" w:lineRule="auto"/>
      </w:pPr>
      <w:r>
        <w:separator/>
      </w:r>
    </w:p>
  </w:endnote>
  <w:endnote w:type="continuationSeparator" w:id="0">
    <w:p w14:paraId="62DF983D" w14:textId="77777777" w:rsidR="0064035F" w:rsidRDefault="0064035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C235" w14:textId="77777777" w:rsidR="0064035F" w:rsidRDefault="0064035F" w:rsidP="00FC265C">
      <w:pPr>
        <w:spacing w:after="0" w:line="240" w:lineRule="auto"/>
      </w:pPr>
      <w:r>
        <w:separator/>
      </w:r>
    </w:p>
  </w:footnote>
  <w:footnote w:type="continuationSeparator" w:id="0">
    <w:p w14:paraId="0C87D3C5" w14:textId="77777777" w:rsidR="0064035F" w:rsidRDefault="0064035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494CF2"/>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87B2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5CA2197"/>
    <w:multiLevelType w:val="hybridMultilevel"/>
    <w:tmpl w:val="DB3E6826"/>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21777"/>
    <w:multiLevelType w:val="hybridMultilevel"/>
    <w:tmpl w:val="A9EA08BA"/>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145C"/>
    <w:multiLevelType w:val="hybridMultilevel"/>
    <w:tmpl w:val="6D469650"/>
    <w:lvl w:ilvl="0" w:tplc="62049FCA">
      <w:start w:val="6"/>
      <w:numFmt w:val="decimal"/>
      <w:lvlText w:val="%1."/>
      <w:lvlJc w:val="left"/>
      <w:pPr>
        <w:ind w:left="757"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480F2D"/>
    <w:multiLevelType w:val="hybridMultilevel"/>
    <w:tmpl w:val="A89E66EA"/>
    <w:lvl w:ilvl="0" w:tplc="6660F354">
      <w:start w:val="1"/>
      <w:numFmt w:val="decimal"/>
      <w:lvlText w:val="%1."/>
      <w:lvlJc w:val="left"/>
      <w:pPr>
        <w:ind w:left="1117" w:hanging="360"/>
      </w:pPr>
      <w:rPr>
        <w:rFonts w:hint="default"/>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7" w15:restartNumberingAfterBreak="0">
    <w:nsid w:val="4DF02FF5"/>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606CF20"/>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6542D0"/>
    <w:multiLevelType w:val="hybridMultilevel"/>
    <w:tmpl w:val="FD6A8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18"/>
  </w:num>
  <w:num w:numId="5">
    <w:abstractNumId w:val="11"/>
  </w:num>
  <w:num w:numId="6">
    <w:abstractNumId w:val="2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4"/>
  </w:num>
  <w:num w:numId="12">
    <w:abstractNumId w:val="14"/>
  </w:num>
  <w:num w:numId="13">
    <w:abstractNumId w:val="19"/>
  </w:num>
  <w:num w:numId="14">
    <w:abstractNumId w:val="23"/>
  </w:num>
  <w:num w:numId="15">
    <w:abstractNumId w:val="20"/>
  </w:num>
  <w:num w:numId="16">
    <w:abstractNumId w:val="25"/>
  </w:num>
  <w:num w:numId="17">
    <w:abstractNumId w:val="5"/>
  </w:num>
  <w:num w:numId="18">
    <w:abstractNumId w:val="0"/>
  </w:num>
  <w:num w:numId="19">
    <w:abstractNumId w:val="1"/>
  </w:num>
  <w:num w:numId="20">
    <w:abstractNumId w:val="4"/>
  </w:num>
  <w:num w:numId="21">
    <w:abstractNumId w:val="17"/>
  </w:num>
  <w:num w:numId="22">
    <w:abstractNumId w:val="2"/>
  </w:num>
  <w:num w:numId="23">
    <w:abstractNumId w:val="10"/>
  </w:num>
  <w:num w:numId="24">
    <w:abstractNumId w:val="6"/>
  </w:num>
  <w:num w:numId="25">
    <w:abstractNumId w:val="7"/>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9408B"/>
    <w:rsid w:val="000C22AB"/>
    <w:rsid w:val="000C5E2D"/>
    <w:rsid w:val="000D2ECF"/>
    <w:rsid w:val="000D72E4"/>
    <w:rsid w:val="000E0026"/>
    <w:rsid w:val="000E048D"/>
    <w:rsid w:val="000E3753"/>
    <w:rsid w:val="000F1724"/>
    <w:rsid w:val="00102D7E"/>
    <w:rsid w:val="00105079"/>
    <w:rsid w:val="00110DAD"/>
    <w:rsid w:val="00111D84"/>
    <w:rsid w:val="00126B47"/>
    <w:rsid w:val="00131AED"/>
    <w:rsid w:val="00133307"/>
    <w:rsid w:val="00135309"/>
    <w:rsid w:val="0013776A"/>
    <w:rsid w:val="001421EB"/>
    <w:rsid w:val="00142868"/>
    <w:rsid w:val="001449EF"/>
    <w:rsid w:val="001451E3"/>
    <w:rsid w:val="001521C3"/>
    <w:rsid w:val="001534AC"/>
    <w:rsid w:val="0015413A"/>
    <w:rsid w:val="0015482B"/>
    <w:rsid w:val="00154A13"/>
    <w:rsid w:val="0015587E"/>
    <w:rsid w:val="0016016C"/>
    <w:rsid w:val="00162062"/>
    <w:rsid w:val="00165309"/>
    <w:rsid w:val="0016729B"/>
    <w:rsid w:val="0017031A"/>
    <w:rsid w:val="0018470C"/>
    <w:rsid w:val="00185383"/>
    <w:rsid w:val="00185A33"/>
    <w:rsid w:val="0019596C"/>
    <w:rsid w:val="001974B9"/>
    <w:rsid w:val="001A0094"/>
    <w:rsid w:val="001A17C6"/>
    <w:rsid w:val="001A2939"/>
    <w:rsid w:val="001A3DC4"/>
    <w:rsid w:val="001B23B8"/>
    <w:rsid w:val="001B6C35"/>
    <w:rsid w:val="001B6E45"/>
    <w:rsid w:val="001B7D2D"/>
    <w:rsid w:val="001C33B7"/>
    <w:rsid w:val="001C4BCA"/>
    <w:rsid w:val="001C7A0C"/>
    <w:rsid w:val="001D5C15"/>
    <w:rsid w:val="001D6652"/>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505F1"/>
    <w:rsid w:val="00254AC0"/>
    <w:rsid w:val="00256C13"/>
    <w:rsid w:val="00256FC4"/>
    <w:rsid w:val="002632C2"/>
    <w:rsid w:val="00264404"/>
    <w:rsid w:val="00265580"/>
    <w:rsid w:val="002720AE"/>
    <w:rsid w:val="0027464B"/>
    <w:rsid w:val="00275B1A"/>
    <w:rsid w:val="00277013"/>
    <w:rsid w:val="0028615F"/>
    <w:rsid w:val="0028621D"/>
    <w:rsid w:val="002A34AA"/>
    <w:rsid w:val="002A5212"/>
    <w:rsid w:val="002A5357"/>
    <w:rsid w:val="002B0B9D"/>
    <w:rsid w:val="002B2324"/>
    <w:rsid w:val="002C33CF"/>
    <w:rsid w:val="002C3C3C"/>
    <w:rsid w:val="002C5E0E"/>
    <w:rsid w:val="002C5F04"/>
    <w:rsid w:val="002C6F5D"/>
    <w:rsid w:val="002D6A56"/>
    <w:rsid w:val="002D6C75"/>
    <w:rsid w:val="002E5C6E"/>
    <w:rsid w:val="002E650B"/>
    <w:rsid w:val="002F450C"/>
    <w:rsid w:val="0031107B"/>
    <w:rsid w:val="00313FE4"/>
    <w:rsid w:val="00321BC7"/>
    <w:rsid w:val="00324620"/>
    <w:rsid w:val="0033705B"/>
    <w:rsid w:val="00344DE8"/>
    <w:rsid w:val="00345819"/>
    <w:rsid w:val="003512C9"/>
    <w:rsid w:val="003547C0"/>
    <w:rsid w:val="00354EFC"/>
    <w:rsid w:val="00366959"/>
    <w:rsid w:val="0037749C"/>
    <w:rsid w:val="00377D87"/>
    <w:rsid w:val="00384BE7"/>
    <w:rsid w:val="00386638"/>
    <w:rsid w:val="00393243"/>
    <w:rsid w:val="00393536"/>
    <w:rsid w:val="00393E2C"/>
    <w:rsid w:val="003B1151"/>
    <w:rsid w:val="003B147E"/>
    <w:rsid w:val="003C1D93"/>
    <w:rsid w:val="003C419C"/>
    <w:rsid w:val="003C7A71"/>
    <w:rsid w:val="003D0C1B"/>
    <w:rsid w:val="003D2E8D"/>
    <w:rsid w:val="003D5CC5"/>
    <w:rsid w:val="003E505E"/>
    <w:rsid w:val="003E7C3A"/>
    <w:rsid w:val="003F20DF"/>
    <w:rsid w:val="003F47B1"/>
    <w:rsid w:val="003F7503"/>
    <w:rsid w:val="00401CDD"/>
    <w:rsid w:val="004049F9"/>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2CE8"/>
    <w:rsid w:val="004A615D"/>
    <w:rsid w:val="004B0A8E"/>
    <w:rsid w:val="004B2E15"/>
    <w:rsid w:val="004B4117"/>
    <w:rsid w:val="004B722E"/>
    <w:rsid w:val="004B7E0D"/>
    <w:rsid w:val="004C20C9"/>
    <w:rsid w:val="004C2773"/>
    <w:rsid w:val="004C7C74"/>
    <w:rsid w:val="004D07AE"/>
    <w:rsid w:val="004D5761"/>
    <w:rsid w:val="004E29AB"/>
    <w:rsid w:val="004F7ACD"/>
    <w:rsid w:val="005019BA"/>
    <w:rsid w:val="0050224E"/>
    <w:rsid w:val="00510A63"/>
    <w:rsid w:val="00511D99"/>
    <w:rsid w:val="0051414C"/>
    <w:rsid w:val="00544D17"/>
    <w:rsid w:val="0054576C"/>
    <w:rsid w:val="00563E70"/>
    <w:rsid w:val="00565EEF"/>
    <w:rsid w:val="00571959"/>
    <w:rsid w:val="00573921"/>
    <w:rsid w:val="005813DD"/>
    <w:rsid w:val="005824F7"/>
    <w:rsid w:val="005849F9"/>
    <w:rsid w:val="00584E2A"/>
    <w:rsid w:val="005871D5"/>
    <w:rsid w:val="00592ADF"/>
    <w:rsid w:val="00593C7C"/>
    <w:rsid w:val="005A47E8"/>
    <w:rsid w:val="005A5437"/>
    <w:rsid w:val="005A668A"/>
    <w:rsid w:val="005B78E5"/>
    <w:rsid w:val="005C5082"/>
    <w:rsid w:val="005D165D"/>
    <w:rsid w:val="005D44D1"/>
    <w:rsid w:val="005D4B64"/>
    <w:rsid w:val="005D681B"/>
    <w:rsid w:val="005E0D89"/>
    <w:rsid w:val="005E2728"/>
    <w:rsid w:val="005E2BEC"/>
    <w:rsid w:val="005F2B48"/>
    <w:rsid w:val="005F592D"/>
    <w:rsid w:val="00601BE1"/>
    <w:rsid w:val="00606980"/>
    <w:rsid w:val="00614A18"/>
    <w:rsid w:val="00616078"/>
    <w:rsid w:val="00625C98"/>
    <w:rsid w:val="00632AE9"/>
    <w:rsid w:val="00634D45"/>
    <w:rsid w:val="0064035F"/>
    <w:rsid w:val="00650A9B"/>
    <w:rsid w:val="006532BB"/>
    <w:rsid w:val="00654E3C"/>
    <w:rsid w:val="00660AFA"/>
    <w:rsid w:val="00662D19"/>
    <w:rsid w:val="0066530D"/>
    <w:rsid w:val="00680803"/>
    <w:rsid w:val="0068593C"/>
    <w:rsid w:val="00686582"/>
    <w:rsid w:val="00687B38"/>
    <w:rsid w:val="00690177"/>
    <w:rsid w:val="006916B6"/>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456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2A96"/>
    <w:rsid w:val="007D4B61"/>
    <w:rsid w:val="007E0476"/>
    <w:rsid w:val="007E716A"/>
    <w:rsid w:val="00800EBC"/>
    <w:rsid w:val="0080768F"/>
    <w:rsid w:val="0081394B"/>
    <w:rsid w:val="008143AD"/>
    <w:rsid w:val="0082639B"/>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2EA3"/>
    <w:rsid w:val="008B696A"/>
    <w:rsid w:val="008C2A42"/>
    <w:rsid w:val="008D053B"/>
    <w:rsid w:val="008D3393"/>
    <w:rsid w:val="008D345C"/>
    <w:rsid w:val="008D5073"/>
    <w:rsid w:val="008E32A8"/>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622CB"/>
    <w:rsid w:val="00971E56"/>
    <w:rsid w:val="0098396A"/>
    <w:rsid w:val="00984845"/>
    <w:rsid w:val="009873D4"/>
    <w:rsid w:val="009956B9"/>
    <w:rsid w:val="00996300"/>
    <w:rsid w:val="00996FE8"/>
    <w:rsid w:val="009A0A4C"/>
    <w:rsid w:val="009A21CF"/>
    <w:rsid w:val="009A334A"/>
    <w:rsid w:val="009A59DD"/>
    <w:rsid w:val="009C6CFD"/>
    <w:rsid w:val="009C6EDE"/>
    <w:rsid w:val="009D17A7"/>
    <w:rsid w:val="009E06F7"/>
    <w:rsid w:val="009E45B2"/>
    <w:rsid w:val="009E4B14"/>
    <w:rsid w:val="009F1F0C"/>
    <w:rsid w:val="009F490E"/>
    <w:rsid w:val="00A019E1"/>
    <w:rsid w:val="00A116A9"/>
    <w:rsid w:val="00A166B4"/>
    <w:rsid w:val="00A22696"/>
    <w:rsid w:val="00A24F6F"/>
    <w:rsid w:val="00A3084B"/>
    <w:rsid w:val="00A36C3C"/>
    <w:rsid w:val="00A415B4"/>
    <w:rsid w:val="00A43091"/>
    <w:rsid w:val="00A4448A"/>
    <w:rsid w:val="00A47FC8"/>
    <w:rsid w:val="00A50770"/>
    <w:rsid w:val="00A600DE"/>
    <w:rsid w:val="00A645BC"/>
    <w:rsid w:val="00A7020B"/>
    <w:rsid w:val="00A71EE6"/>
    <w:rsid w:val="00A7352C"/>
    <w:rsid w:val="00A766C2"/>
    <w:rsid w:val="00A81C96"/>
    <w:rsid w:val="00A844F4"/>
    <w:rsid w:val="00A84628"/>
    <w:rsid w:val="00A876A7"/>
    <w:rsid w:val="00A87842"/>
    <w:rsid w:val="00A966E9"/>
    <w:rsid w:val="00A97B60"/>
    <w:rsid w:val="00AA28A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157"/>
    <w:rsid w:val="00B206FD"/>
    <w:rsid w:val="00B20CFE"/>
    <w:rsid w:val="00B21B8C"/>
    <w:rsid w:val="00B37EAB"/>
    <w:rsid w:val="00B40421"/>
    <w:rsid w:val="00B45804"/>
    <w:rsid w:val="00B51E9C"/>
    <w:rsid w:val="00B53970"/>
    <w:rsid w:val="00B5423E"/>
    <w:rsid w:val="00B60EAE"/>
    <w:rsid w:val="00B6105D"/>
    <w:rsid w:val="00B71C57"/>
    <w:rsid w:val="00B7526C"/>
    <w:rsid w:val="00B80913"/>
    <w:rsid w:val="00B91902"/>
    <w:rsid w:val="00B94381"/>
    <w:rsid w:val="00B96904"/>
    <w:rsid w:val="00B96CCD"/>
    <w:rsid w:val="00BA0BB7"/>
    <w:rsid w:val="00BA50AB"/>
    <w:rsid w:val="00BA68EF"/>
    <w:rsid w:val="00BB6591"/>
    <w:rsid w:val="00BC1E84"/>
    <w:rsid w:val="00BC2912"/>
    <w:rsid w:val="00BC3421"/>
    <w:rsid w:val="00BC56D0"/>
    <w:rsid w:val="00BC755E"/>
    <w:rsid w:val="00BD085D"/>
    <w:rsid w:val="00BE0BB3"/>
    <w:rsid w:val="00BE466E"/>
    <w:rsid w:val="00BF0436"/>
    <w:rsid w:val="00BF3462"/>
    <w:rsid w:val="00C07D04"/>
    <w:rsid w:val="00C10092"/>
    <w:rsid w:val="00C151F3"/>
    <w:rsid w:val="00C52748"/>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42AD"/>
    <w:rsid w:val="00DB03E0"/>
    <w:rsid w:val="00DB6455"/>
    <w:rsid w:val="00DC02A0"/>
    <w:rsid w:val="00DC0B8E"/>
    <w:rsid w:val="00DD2AAC"/>
    <w:rsid w:val="00DD78D8"/>
    <w:rsid w:val="00DE67F3"/>
    <w:rsid w:val="00DF53ED"/>
    <w:rsid w:val="00DF6922"/>
    <w:rsid w:val="00E0180D"/>
    <w:rsid w:val="00E02A56"/>
    <w:rsid w:val="00E053F8"/>
    <w:rsid w:val="00E06670"/>
    <w:rsid w:val="00E1073F"/>
    <w:rsid w:val="00E10ED4"/>
    <w:rsid w:val="00E13088"/>
    <w:rsid w:val="00E156A0"/>
    <w:rsid w:val="00E15B8C"/>
    <w:rsid w:val="00E1681D"/>
    <w:rsid w:val="00E16DCC"/>
    <w:rsid w:val="00E322AD"/>
    <w:rsid w:val="00E34584"/>
    <w:rsid w:val="00E50633"/>
    <w:rsid w:val="00E61823"/>
    <w:rsid w:val="00E63528"/>
    <w:rsid w:val="00E82939"/>
    <w:rsid w:val="00E858BA"/>
    <w:rsid w:val="00E94D1C"/>
    <w:rsid w:val="00E9610A"/>
    <w:rsid w:val="00E97254"/>
    <w:rsid w:val="00EA08DE"/>
    <w:rsid w:val="00EA0EA3"/>
    <w:rsid w:val="00EA0F18"/>
    <w:rsid w:val="00EA6D9F"/>
    <w:rsid w:val="00EA6F19"/>
    <w:rsid w:val="00EB3D93"/>
    <w:rsid w:val="00EC231E"/>
    <w:rsid w:val="00EC3847"/>
    <w:rsid w:val="00EC7F45"/>
    <w:rsid w:val="00ED238B"/>
    <w:rsid w:val="00ED47F9"/>
    <w:rsid w:val="00ED7769"/>
    <w:rsid w:val="00EE19A2"/>
    <w:rsid w:val="00EE211A"/>
    <w:rsid w:val="00EE3476"/>
    <w:rsid w:val="00EE4823"/>
    <w:rsid w:val="00EF268E"/>
    <w:rsid w:val="00EF35F3"/>
    <w:rsid w:val="00EF57B8"/>
    <w:rsid w:val="00F04E7D"/>
    <w:rsid w:val="00F11CAD"/>
    <w:rsid w:val="00F14137"/>
    <w:rsid w:val="00F20EFA"/>
    <w:rsid w:val="00F23668"/>
    <w:rsid w:val="00F310CD"/>
    <w:rsid w:val="00F313D0"/>
    <w:rsid w:val="00F31F0E"/>
    <w:rsid w:val="00F335D0"/>
    <w:rsid w:val="00F3729E"/>
    <w:rsid w:val="00F41132"/>
    <w:rsid w:val="00F50537"/>
    <w:rsid w:val="00F51C3B"/>
    <w:rsid w:val="00F52F2A"/>
    <w:rsid w:val="00F57973"/>
    <w:rsid w:val="00F62191"/>
    <w:rsid w:val="00F67B89"/>
    <w:rsid w:val="00F7009F"/>
    <w:rsid w:val="00F7211E"/>
    <w:rsid w:val="00F730AC"/>
    <w:rsid w:val="00F73512"/>
    <w:rsid w:val="00F7353F"/>
    <w:rsid w:val="00F843DA"/>
    <w:rsid w:val="00F91282"/>
    <w:rsid w:val="00FA1518"/>
    <w:rsid w:val="00FA7BFE"/>
    <w:rsid w:val="00FB09B1"/>
    <w:rsid w:val="00FB2D63"/>
    <w:rsid w:val="00FC1B0B"/>
    <w:rsid w:val="00FC1C86"/>
    <w:rsid w:val="00FC265C"/>
    <w:rsid w:val="00FC6085"/>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1D"/>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357">
      <w:bodyDiv w:val="1"/>
      <w:marLeft w:val="0"/>
      <w:marRight w:val="0"/>
      <w:marTop w:val="0"/>
      <w:marBottom w:val="0"/>
      <w:divBdr>
        <w:top w:val="none" w:sz="0" w:space="0" w:color="auto"/>
        <w:left w:val="none" w:sz="0" w:space="0" w:color="auto"/>
        <w:bottom w:val="none" w:sz="0" w:space="0" w:color="auto"/>
        <w:right w:val="none" w:sz="0" w:space="0" w:color="auto"/>
      </w:divBdr>
    </w:div>
    <w:div w:id="9733699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9230786">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328197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90969179">
      <w:bodyDiv w:val="1"/>
      <w:marLeft w:val="0"/>
      <w:marRight w:val="0"/>
      <w:marTop w:val="0"/>
      <w:marBottom w:val="0"/>
      <w:divBdr>
        <w:top w:val="none" w:sz="0" w:space="0" w:color="auto"/>
        <w:left w:val="none" w:sz="0" w:space="0" w:color="auto"/>
        <w:bottom w:val="none" w:sz="0" w:space="0" w:color="auto"/>
        <w:right w:val="none" w:sz="0" w:space="0" w:color="auto"/>
      </w:divBdr>
    </w:div>
    <w:div w:id="182257728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32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CE7189-304A-43E6-B2E7-5A8C492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3</cp:revision>
  <cp:lastPrinted>2017-01-31T14:23:00Z</cp:lastPrinted>
  <dcterms:created xsi:type="dcterms:W3CDTF">2022-02-23T09:42:00Z</dcterms:created>
  <dcterms:modified xsi:type="dcterms:W3CDTF">2022-02-23T09:48:00Z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