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4CD18FF8" w14:textId="77777777" w:rsidR="00622C6F" w:rsidRDefault="00622C6F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</w:p>
    <w:p w14:paraId="4D9042FB" w14:textId="4BEC8C5C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A07DAF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</w:t>
      </w:r>
      <w:r w:rsidR="007F140D">
        <w:rPr>
          <w:rFonts w:ascii="Times New Roman" w:eastAsia="Times New Roman" w:hAnsi="Times New Roman" w:cs="Times New Roman"/>
          <w:sz w:val="24"/>
          <w:szCs w:val="24"/>
        </w:rPr>
        <w:t xml:space="preserve"> dovođenje građevine u prvobitno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 xml:space="preserve">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9AE2726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</w:t>
      </w:r>
      <w:bookmarkStart w:id="0" w:name="_GoBack"/>
      <w:bookmarkEnd w:id="0"/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,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Bjelovarsko-bilogorske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i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Koprivničko-križevačke županije</w:t>
      </w: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049B" w14:textId="77777777" w:rsidR="00C92091" w:rsidRDefault="00C92091" w:rsidP="00EC4A16">
      <w:pPr>
        <w:spacing w:after="0" w:line="240" w:lineRule="auto"/>
      </w:pPr>
      <w:r>
        <w:separator/>
      </w:r>
    </w:p>
  </w:endnote>
  <w:endnote w:type="continuationSeparator" w:id="0">
    <w:p w14:paraId="5A198F3A" w14:textId="77777777" w:rsidR="00C92091" w:rsidRDefault="00C9209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589CAEA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57EF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57EF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33C26" w14:textId="77777777" w:rsidR="00C92091" w:rsidRDefault="00C92091" w:rsidP="00EC4A16">
      <w:pPr>
        <w:spacing w:after="0" w:line="240" w:lineRule="auto"/>
      </w:pPr>
      <w:r>
        <w:separator/>
      </w:r>
    </w:p>
  </w:footnote>
  <w:footnote w:type="continuationSeparator" w:id="0">
    <w:p w14:paraId="20399B95" w14:textId="77777777" w:rsidR="00C92091" w:rsidRDefault="00C9209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140D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395C"/>
    <w:rsid w:val="00FD4146"/>
    <w:rsid w:val="00FD48FA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AEDCD-8A60-4ED3-9403-B7A772D1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2022-01-04T11:54:00Z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