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0B" w:rsidRDefault="0054100B" w:rsidP="0054100B">
      <w:pPr>
        <w:jc w:val="center"/>
        <w:rPr>
          <w:b/>
          <w:sz w:val="32"/>
          <w:szCs w:val="32"/>
        </w:rPr>
      </w:pPr>
    </w:p>
    <w:p w:rsidR="00E526FB" w:rsidRPr="000A1A20" w:rsidRDefault="00D73020" w:rsidP="0054100B">
      <w:pPr>
        <w:jc w:val="center"/>
        <w:rPr>
          <w:b/>
          <w:sz w:val="32"/>
          <w:szCs w:val="32"/>
        </w:rPr>
      </w:pPr>
      <w:r w:rsidRPr="000A1A20">
        <w:rPr>
          <w:b/>
          <w:sz w:val="32"/>
          <w:szCs w:val="32"/>
        </w:rPr>
        <w:t>PITANJA</w:t>
      </w:r>
      <w:r w:rsidR="002A237E">
        <w:rPr>
          <w:b/>
          <w:sz w:val="32"/>
          <w:szCs w:val="32"/>
        </w:rPr>
        <w:t xml:space="preserve"> I ODGOVORI </w:t>
      </w:r>
      <w:r w:rsidR="00927D75">
        <w:rPr>
          <w:b/>
          <w:sz w:val="32"/>
          <w:szCs w:val="32"/>
        </w:rPr>
        <w:t>01.02</w:t>
      </w:r>
      <w:r w:rsidR="005F35DF">
        <w:rPr>
          <w:b/>
          <w:sz w:val="32"/>
          <w:szCs w:val="32"/>
        </w:rPr>
        <w:t>.2022</w:t>
      </w:r>
      <w:r w:rsidR="00040AE0" w:rsidRPr="000A1A20">
        <w:rPr>
          <w:b/>
          <w:sz w:val="32"/>
          <w:szCs w:val="32"/>
        </w:rPr>
        <w:t>.-</w:t>
      </w:r>
      <w:r w:rsidR="00927D75">
        <w:rPr>
          <w:b/>
          <w:sz w:val="32"/>
          <w:szCs w:val="32"/>
        </w:rPr>
        <w:t>07</w:t>
      </w:r>
      <w:r w:rsidR="00040AE0" w:rsidRPr="000A1A20">
        <w:rPr>
          <w:b/>
          <w:sz w:val="32"/>
          <w:szCs w:val="32"/>
        </w:rPr>
        <w:t>.</w:t>
      </w:r>
      <w:r w:rsidR="00927D75">
        <w:rPr>
          <w:b/>
          <w:sz w:val="32"/>
          <w:szCs w:val="32"/>
        </w:rPr>
        <w:t>02</w:t>
      </w:r>
      <w:r w:rsidR="002A237E">
        <w:rPr>
          <w:b/>
          <w:sz w:val="32"/>
          <w:szCs w:val="32"/>
        </w:rPr>
        <w:t>.</w:t>
      </w:r>
      <w:r w:rsidR="005F35DF">
        <w:rPr>
          <w:b/>
          <w:sz w:val="32"/>
          <w:szCs w:val="32"/>
        </w:rPr>
        <w:t>2022</w:t>
      </w:r>
      <w:r w:rsidR="00040AE0" w:rsidRPr="000A1A20">
        <w:rPr>
          <w:b/>
          <w:sz w:val="32"/>
          <w:szCs w:val="32"/>
        </w:rPr>
        <w:t>.</w:t>
      </w:r>
    </w:p>
    <w:p w:rsidR="007D7980" w:rsidRDefault="00DF6D11" w:rsidP="0054100B">
      <w:pPr>
        <w:jc w:val="center"/>
        <w:rPr>
          <w:b/>
          <w:sz w:val="28"/>
          <w:szCs w:val="28"/>
        </w:rPr>
      </w:pPr>
      <w:r>
        <w:rPr>
          <w:rStyle w:val="Hyperlink"/>
          <w:b/>
          <w:sz w:val="28"/>
          <w:szCs w:val="28"/>
        </w:rPr>
        <w:t xml:space="preserve">min-kulture.gov.hr, </w:t>
      </w:r>
      <w:hyperlink r:id="rId8" w:history="1">
        <w:r w:rsidR="007D7980" w:rsidRPr="000C37B3">
          <w:rPr>
            <w:rStyle w:val="Hyperlink"/>
            <w:b/>
            <w:sz w:val="28"/>
            <w:szCs w:val="28"/>
          </w:rPr>
          <w:t>www.strukturnifondovi.hr</w:t>
        </w:r>
      </w:hyperlink>
    </w:p>
    <w:p w:rsidR="000A1A20" w:rsidRDefault="000A1A20" w:rsidP="00D7572B">
      <w:pPr>
        <w:jc w:val="both"/>
        <w:rPr>
          <w:b/>
          <w:sz w:val="28"/>
          <w:szCs w:val="28"/>
        </w:rPr>
      </w:pPr>
    </w:p>
    <w:p w:rsidR="0054100B" w:rsidRDefault="0054100B" w:rsidP="00D7572B">
      <w:pPr>
        <w:jc w:val="both"/>
        <w:rPr>
          <w:b/>
          <w:sz w:val="28"/>
          <w:szCs w:val="28"/>
        </w:rPr>
      </w:pPr>
    </w:p>
    <w:p w:rsidR="007D7980" w:rsidRPr="000A1A20" w:rsidRDefault="007D7980" w:rsidP="00D7572B">
      <w:pPr>
        <w:jc w:val="both"/>
        <w:rPr>
          <w:b/>
          <w:sz w:val="28"/>
          <w:szCs w:val="28"/>
        </w:rPr>
      </w:pPr>
      <w:r w:rsidRPr="000A1A20">
        <w:rPr>
          <w:b/>
          <w:sz w:val="28"/>
          <w:szCs w:val="28"/>
        </w:rPr>
        <w:t>FOND: Fond solidarnosti Europske unije</w:t>
      </w:r>
    </w:p>
    <w:p w:rsidR="007D7980" w:rsidRPr="000A1A20" w:rsidRDefault="007D7980" w:rsidP="00D7572B">
      <w:pPr>
        <w:jc w:val="both"/>
        <w:rPr>
          <w:b/>
          <w:sz w:val="28"/>
          <w:szCs w:val="28"/>
        </w:rPr>
      </w:pPr>
      <w:r w:rsidRPr="000A1A20">
        <w:rPr>
          <w:b/>
          <w:sz w:val="28"/>
          <w:szCs w:val="28"/>
        </w:rPr>
        <w:t xml:space="preserve">PROGRAM: </w:t>
      </w:r>
      <w:r w:rsidR="00B90FA2" w:rsidRPr="00B90FA2">
        <w:rPr>
          <w:b/>
          <w:sz w:val="28"/>
          <w:szCs w:val="28"/>
        </w:rPr>
        <w:t>Provedba mjera zaštite kulturne baštine oštećene u seriji potresa s epicentrom na području Sisačko-moslavačke županije počevš</w:t>
      </w:r>
      <w:r w:rsidR="00241476">
        <w:rPr>
          <w:b/>
          <w:sz w:val="28"/>
          <w:szCs w:val="28"/>
        </w:rPr>
        <w:t>i od 28. prosinca 2020.</w:t>
      </w:r>
      <w:r w:rsidR="00B90FA2" w:rsidRPr="00B90FA2">
        <w:rPr>
          <w:b/>
          <w:sz w:val="28"/>
          <w:szCs w:val="28"/>
        </w:rPr>
        <w:t xml:space="preserv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rsidR="007D7980" w:rsidRPr="000A1A20" w:rsidRDefault="007D7980" w:rsidP="00D7572B">
      <w:pPr>
        <w:jc w:val="both"/>
        <w:rPr>
          <w:b/>
          <w:sz w:val="28"/>
          <w:szCs w:val="28"/>
        </w:rPr>
      </w:pPr>
      <w:r w:rsidRPr="000A1A20">
        <w:rPr>
          <w:b/>
          <w:sz w:val="28"/>
          <w:szCs w:val="28"/>
        </w:rPr>
        <w:t>BROJ POZIVA:</w:t>
      </w:r>
      <w:r w:rsidR="00B90FA2">
        <w:rPr>
          <w:b/>
          <w:sz w:val="28"/>
          <w:szCs w:val="28"/>
        </w:rPr>
        <w:t xml:space="preserve"> 612-08/22-01/0005</w:t>
      </w:r>
    </w:p>
    <w:p w:rsidR="007D7980" w:rsidRPr="000A1A20" w:rsidRDefault="007D7980" w:rsidP="00D7572B">
      <w:pPr>
        <w:jc w:val="both"/>
        <w:rPr>
          <w:b/>
          <w:sz w:val="28"/>
          <w:szCs w:val="28"/>
        </w:rPr>
      </w:pPr>
      <w:r w:rsidRPr="000A1A20">
        <w:rPr>
          <w:b/>
          <w:sz w:val="28"/>
          <w:szCs w:val="28"/>
        </w:rPr>
        <w:t>TIP NATJEČAJA: otvoreni poziv</w:t>
      </w:r>
    </w:p>
    <w:p w:rsidR="007D7980" w:rsidRPr="000A1A20" w:rsidRDefault="007D7980" w:rsidP="00D7572B">
      <w:pPr>
        <w:jc w:val="both"/>
        <w:rPr>
          <w:b/>
          <w:sz w:val="28"/>
          <w:szCs w:val="28"/>
        </w:rPr>
      </w:pPr>
      <w:r w:rsidRPr="000A1A20">
        <w:rPr>
          <w:b/>
          <w:sz w:val="28"/>
          <w:szCs w:val="28"/>
        </w:rPr>
        <w:t>MODALITET: trajni do isteka sredstava</w:t>
      </w:r>
    </w:p>
    <w:p w:rsidR="007D7980" w:rsidRPr="000A1A20" w:rsidRDefault="007D7980" w:rsidP="00D7572B">
      <w:pPr>
        <w:jc w:val="both"/>
        <w:rPr>
          <w:b/>
          <w:sz w:val="28"/>
          <w:szCs w:val="28"/>
        </w:rPr>
      </w:pPr>
      <w:r w:rsidRPr="000A1A20">
        <w:rPr>
          <w:b/>
          <w:sz w:val="28"/>
          <w:szCs w:val="28"/>
        </w:rPr>
        <w:t>NACIONALNO KOORDINACIJSKO TIJELO: Ministarstvo prostornog uređenja, graditeljstva i državne imovine</w:t>
      </w:r>
    </w:p>
    <w:p w:rsidR="007D7980" w:rsidRPr="000A1A20" w:rsidRDefault="007D7980" w:rsidP="00D7572B">
      <w:pPr>
        <w:jc w:val="both"/>
        <w:rPr>
          <w:b/>
          <w:sz w:val="28"/>
          <w:szCs w:val="28"/>
        </w:rPr>
      </w:pPr>
      <w:r w:rsidRPr="000A1A20">
        <w:rPr>
          <w:b/>
          <w:sz w:val="28"/>
          <w:szCs w:val="28"/>
        </w:rPr>
        <w:t>ROK ZA PODNOŠENJE PROJEKTNIH PRIJEDLOGA</w:t>
      </w:r>
      <w:r w:rsidR="00203D81">
        <w:rPr>
          <w:b/>
          <w:sz w:val="28"/>
          <w:szCs w:val="28"/>
        </w:rPr>
        <w:t>:</w:t>
      </w:r>
      <w:r w:rsidR="00B90FA2">
        <w:rPr>
          <w:b/>
          <w:sz w:val="28"/>
          <w:szCs w:val="28"/>
        </w:rPr>
        <w:t xml:space="preserve"> 03.06.2023</w:t>
      </w:r>
      <w:r w:rsidRPr="000A1A20">
        <w:rPr>
          <w:b/>
          <w:sz w:val="28"/>
          <w:szCs w:val="28"/>
        </w:rPr>
        <w:t>.</w:t>
      </w:r>
    </w:p>
    <w:p w:rsidR="007D7980" w:rsidRDefault="000A1A20" w:rsidP="00D7572B">
      <w:pPr>
        <w:jc w:val="both"/>
        <w:rPr>
          <w:b/>
          <w:sz w:val="28"/>
          <w:szCs w:val="28"/>
        </w:rPr>
      </w:pPr>
      <w:r w:rsidRPr="000A1A20">
        <w:rPr>
          <w:b/>
          <w:sz w:val="28"/>
          <w:szCs w:val="28"/>
        </w:rPr>
        <w:t xml:space="preserve">ROK ZA ODGOVOR NA PITANJE: 7 dana od zaprimanja </w:t>
      </w:r>
    </w:p>
    <w:p w:rsidR="00203D81" w:rsidRPr="000A1A20" w:rsidRDefault="00203D81" w:rsidP="00D7572B">
      <w:pPr>
        <w:jc w:val="both"/>
        <w:rPr>
          <w:b/>
          <w:sz w:val="28"/>
          <w:szCs w:val="28"/>
        </w:rPr>
      </w:pPr>
    </w:p>
    <w:p w:rsidR="000A1A20" w:rsidRDefault="000A1A20" w:rsidP="00D7572B">
      <w:pPr>
        <w:jc w:val="both"/>
        <w:rPr>
          <w:b/>
        </w:rPr>
      </w:pPr>
    </w:p>
    <w:p w:rsidR="000A1A20" w:rsidRDefault="000A1A20" w:rsidP="00D7572B">
      <w:pPr>
        <w:jc w:val="both"/>
        <w:rPr>
          <w:b/>
        </w:rPr>
      </w:pPr>
    </w:p>
    <w:p w:rsidR="000A1A20" w:rsidRDefault="000A1A20" w:rsidP="00D7572B">
      <w:pPr>
        <w:jc w:val="both"/>
        <w:rPr>
          <w:b/>
        </w:rPr>
      </w:pPr>
    </w:p>
    <w:p w:rsidR="004E16B1" w:rsidRPr="00AD4C2D" w:rsidRDefault="004E16B1" w:rsidP="00D7572B">
      <w:pPr>
        <w:jc w:val="both"/>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8316"/>
        <w:gridCol w:w="7072"/>
      </w:tblGrid>
      <w:tr w:rsidR="00CF0C98" w:rsidRPr="00D62C11" w:rsidTr="006A65E8">
        <w:trPr>
          <w:trHeight w:val="557"/>
        </w:trPr>
        <w:tc>
          <w:tcPr>
            <w:tcW w:w="8316" w:type="dxa"/>
          </w:tcPr>
          <w:p w:rsidR="003048B2" w:rsidRDefault="003048B2" w:rsidP="00D7572B">
            <w:pPr>
              <w:jc w:val="center"/>
              <w:rPr>
                <w:rFonts w:eastAsia="Times New Roman"/>
                <w:b/>
                <w:sz w:val="24"/>
                <w:szCs w:val="24"/>
              </w:rPr>
            </w:pPr>
          </w:p>
          <w:p w:rsidR="000F321A" w:rsidRPr="000F321A" w:rsidRDefault="000F321A" w:rsidP="00D7572B">
            <w:pPr>
              <w:jc w:val="center"/>
              <w:rPr>
                <w:rFonts w:eastAsia="Times New Roman"/>
                <w:b/>
                <w:sz w:val="24"/>
                <w:szCs w:val="24"/>
              </w:rPr>
            </w:pPr>
            <w:r w:rsidRPr="000F321A">
              <w:rPr>
                <w:rFonts w:eastAsia="Times New Roman"/>
                <w:b/>
                <w:sz w:val="24"/>
                <w:szCs w:val="24"/>
              </w:rPr>
              <w:t>PITANJE</w:t>
            </w:r>
          </w:p>
        </w:tc>
        <w:tc>
          <w:tcPr>
            <w:tcW w:w="7072" w:type="dxa"/>
          </w:tcPr>
          <w:p w:rsidR="003048B2" w:rsidRDefault="003048B2" w:rsidP="00D7572B">
            <w:pPr>
              <w:jc w:val="center"/>
              <w:rPr>
                <w:rFonts w:cstheme="minorHAnsi"/>
                <w:b/>
                <w:sz w:val="24"/>
                <w:szCs w:val="24"/>
              </w:rPr>
            </w:pPr>
          </w:p>
          <w:p w:rsidR="000F321A" w:rsidRPr="000F321A" w:rsidRDefault="000F321A" w:rsidP="00D7572B">
            <w:pPr>
              <w:jc w:val="center"/>
              <w:rPr>
                <w:rFonts w:cstheme="minorHAnsi"/>
                <w:b/>
                <w:sz w:val="24"/>
                <w:szCs w:val="24"/>
              </w:rPr>
            </w:pPr>
            <w:r w:rsidRPr="000F321A">
              <w:rPr>
                <w:rFonts w:cstheme="minorHAnsi"/>
                <w:b/>
                <w:sz w:val="24"/>
                <w:szCs w:val="24"/>
              </w:rPr>
              <w:t>ODGOVOR</w:t>
            </w:r>
          </w:p>
          <w:p w:rsidR="000F321A" w:rsidRPr="000F321A" w:rsidRDefault="000F321A" w:rsidP="00D7572B">
            <w:pPr>
              <w:jc w:val="center"/>
              <w:rPr>
                <w:rFonts w:cstheme="minorHAnsi"/>
                <w:b/>
                <w:sz w:val="24"/>
                <w:szCs w:val="24"/>
              </w:rPr>
            </w:pPr>
          </w:p>
        </w:tc>
      </w:tr>
      <w:tr w:rsidR="00CF0C98" w:rsidRPr="00D62C11" w:rsidTr="006A65E8">
        <w:trPr>
          <w:trHeight w:val="557"/>
        </w:trPr>
        <w:tc>
          <w:tcPr>
            <w:tcW w:w="8316" w:type="dxa"/>
          </w:tcPr>
          <w:p w:rsidR="00370BF4" w:rsidRDefault="00370BF4" w:rsidP="003436BE">
            <w:pPr>
              <w:jc w:val="both"/>
              <w:rPr>
                <w:rFonts w:eastAsia="Times New Roman"/>
                <w:color w:val="000000"/>
              </w:rPr>
            </w:pPr>
            <w:r>
              <w:rPr>
                <w:rFonts w:eastAsia="Times New Roman"/>
                <w:color w:val="000000"/>
              </w:rPr>
              <w:t>Gdje se mogu dobiti uvjeti prihvatljivosti operacija o mjerama zaštite kulturnog</w:t>
            </w:r>
            <w:r w:rsidR="003711B2">
              <w:rPr>
                <w:rFonts w:eastAsia="Times New Roman"/>
                <w:color w:val="000000"/>
              </w:rPr>
              <w:t xml:space="preserve"> dobra oštećenog u potresu tj. n</w:t>
            </w:r>
            <w:r>
              <w:rPr>
                <w:rFonts w:eastAsia="Times New Roman"/>
                <w:color w:val="000000"/>
              </w:rPr>
              <w:t>ekretn</w:t>
            </w:r>
            <w:r w:rsidR="003711B2">
              <w:rPr>
                <w:rFonts w:eastAsia="Times New Roman"/>
                <w:color w:val="000000"/>
              </w:rPr>
              <w:t>ine se nalaze unutar zašt</w:t>
            </w:r>
            <w:r w:rsidR="0054100B">
              <w:rPr>
                <w:rFonts w:eastAsia="Times New Roman"/>
                <w:color w:val="000000"/>
              </w:rPr>
              <w:t>ićene povijesno urbane cjeline g</w:t>
            </w:r>
            <w:r>
              <w:rPr>
                <w:rFonts w:eastAsia="Times New Roman"/>
                <w:color w:val="000000"/>
              </w:rPr>
              <w:t>rad</w:t>
            </w:r>
            <w:r w:rsidR="0054100B">
              <w:rPr>
                <w:rFonts w:eastAsia="Times New Roman"/>
                <w:color w:val="000000"/>
              </w:rPr>
              <w:t>a</w:t>
            </w:r>
            <w:r>
              <w:rPr>
                <w:rFonts w:eastAsia="Times New Roman"/>
                <w:color w:val="000000"/>
              </w:rPr>
              <w:t xml:space="preserve"> Zagreb</w:t>
            </w:r>
            <w:r w:rsidR="0054100B">
              <w:rPr>
                <w:rFonts w:eastAsia="Times New Roman"/>
                <w:color w:val="000000"/>
              </w:rPr>
              <w:t>a</w:t>
            </w:r>
            <w:r>
              <w:rPr>
                <w:rFonts w:eastAsia="Times New Roman"/>
                <w:color w:val="000000"/>
              </w:rPr>
              <w:t>?</w:t>
            </w:r>
            <w:r w:rsidR="0054100B">
              <w:rPr>
                <w:rFonts w:eastAsia="Times New Roman"/>
                <w:color w:val="000000"/>
              </w:rPr>
              <w:t xml:space="preserve"> </w:t>
            </w:r>
            <w:r>
              <w:rPr>
                <w:rFonts w:eastAsia="Times New Roman"/>
                <w:color w:val="000000"/>
              </w:rPr>
              <w:t>Na što se može aplicirati?</w:t>
            </w:r>
          </w:p>
          <w:p w:rsidR="00370BF4" w:rsidRDefault="0054100B" w:rsidP="003436BE">
            <w:pPr>
              <w:jc w:val="both"/>
              <w:rPr>
                <w:rFonts w:eastAsia="Times New Roman"/>
                <w:color w:val="000000"/>
              </w:rPr>
            </w:pPr>
            <w:r>
              <w:rPr>
                <w:rFonts w:eastAsia="Times New Roman"/>
                <w:color w:val="000000"/>
              </w:rPr>
              <w:t xml:space="preserve">Zainteresirani smo za </w:t>
            </w:r>
            <w:r w:rsidR="00370BF4">
              <w:rPr>
                <w:rFonts w:eastAsia="Times New Roman"/>
                <w:color w:val="000000"/>
              </w:rPr>
              <w:t>poziv 612-08/22-01/0005; bespovratna sredstva</w:t>
            </w:r>
            <w:r>
              <w:rPr>
                <w:rFonts w:eastAsia="Times New Roman"/>
                <w:color w:val="000000"/>
              </w:rPr>
              <w:t>.</w:t>
            </w:r>
          </w:p>
          <w:p w:rsidR="003436BE" w:rsidRPr="00BA6316" w:rsidRDefault="003436BE" w:rsidP="00BA6316">
            <w:pPr>
              <w:jc w:val="both"/>
              <w:rPr>
                <w:rFonts w:eastAsia="Times New Roman"/>
                <w:color w:val="000000"/>
              </w:rPr>
            </w:pPr>
          </w:p>
        </w:tc>
        <w:tc>
          <w:tcPr>
            <w:tcW w:w="7072" w:type="dxa"/>
          </w:tcPr>
          <w:p w:rsidR="0054100B" w:rsidRDefault="0054100B" w:rsidP="0054100B">
            <w:pPr>
              <w:jc w:val="both"/>
              <w:rPr>
                <w:rFonts w:cstheme="minorHAnsi"/>
                <w:b/>
                <w:sz w:val="24"/>
                <w:szCs w:val="24"/>
              </w:rPr>
            </w:pPr>
            <w:r>
              <w:rPr>
                <w:rFonts w:cstheme="minorHAnsi"/>
                <w:b/>
                <w:sz w:val="24"/>
                <w:szCs w:val="24"/>
              </w:rPr>
              <w:t xml:space="preserve">Uvjeti Poziva kao i sve ostale relevantne informacije nalaze se na linku: </w:t>
            </w:r>
          </w:p>
          <w:p w:rsidR="00927D75" w:rsidRDefault="00A64D14" w:rsidP="0054100B">
            <w:pPr>
              <w:jc w:val="both"/>
              <w:rPr>
                <w:rFonts w:cstheme="minorHAnsi"/>
                <w:b/>
                <w:sz w:val="24"/>
                <w:szCs w:val="24"/>
              </w:rPr>
            </w:pPr>
            <w:hyperlink r:id="rId9" w:history="1">
              <w:r w:rsidR="0054100B" w:rsidRPr="00250C83">
                <w:rPr>
                  <w:rStyle w:val="Hyperlink"/>
                  <w:rFonts w:cstheme="minorHAnsi"/>
                  <w:b/>
                  <w:sz w:val="24"/>
                  <w:szCs w:val="24"/>
                </w:rPr>
                <w:t>https://min-kulture.gov.hr/vijesti-8/do-7-veljace-privremeno-obustavljen-poziv-na-dodjelu-bespovratnih-financijskih-sredstava/21816</w:t>
              </w:r>
            </w:hyperlink>
          </w:p>
          <w:p w:rsidR="0054100B" w:rsidRDefault="0054100B" w:rsidP="00D7572B">
            <w:pPr>
              <w:jc w:val="center"/>
              <w:rPr>
                <w:rFonts w:cstheme="minorHAnsi"/>
                <w:b/>
                <w:sz w:val="24"/>
                <w:szCs w:val="24"/>
              </w:rPr>
            </w:pPr>
          </w:p>
        </w:tc>
      </w:tr>
      <w:tr w:rsidR="002D2A0C" w:rsidRPr="00D62C11" w:rsidTr="006A65E8">
        <w:trPr>
          <w:trHeight w:val="557"/>
        </w:trPr>
        <w:tc>
          <w:tcPr>
            <w:tcW w:w="8316" w:type="dxa"/>
          </w:tcPr>
          <w:p w:rsidR="002D2A0C" w:rsidRDefault="002D2A0C" w:rsidP="002D2A0C">
            <w:r>
              <w:t>Dom Zagreb zbrinjava osobe s mentalnim teškoćama u Dvorcu obitelji Vranyczany  na području Svetog Križa Začretje.</w:t>
            </w:r>
            <w:r w:rsidR="00734538">
              <w:t xml:space="preserve"> </w:t>
            </w:r>
            <w:r>
              <w:t>Navedeni dvorac je pojedinačno zaštićeno kulturno dobro te je za vrijeme "petrinjskog" potresa oštećen.</w:t>
            </w:r>
            <w:r w:rsidR="00734538">
              <w:t xml:space="preserve"> </w:t>
            </w:r>
            <w:r>
              <w:t>Molimo Vas naputak možemo li aplicirati na raspisani natječaj za popravak dvorca.</w:t>
            </w:r>
          </w:p>
          <w:p w:rsidR="002D2A0C" w:rsidRDefault="002D2A0C" w:rsidP="002D2A0C">
            <w:r>
              <w:t>Još jednom napominjemo kako smo socijalna ustanova i vodimo skrb o ranjivim skupinama.</w:t>
            </w:r>
          </w:p>
          <w:p w:rsidR="002D2A0C" w:rsidRDefault="002D2A0C" w:rsidP="00734538">
            <w:pPr>
              <w:rPr>
                <w:rFonts w:eastAsia="Times New Roman"/>
                <w:color w:val="000000"/>
              </w:rPr>
            </w:pPr>
            <w:bookmarkStart w:id="0" w:name="_GoBack"/>
            <w:bookmarkEnd w:id="0"/>
          </w:p>
        </w:tc>
        <w:tc>
          <w:tcPr>
            <w:tcW w:w="7072" w:type="dxa"/>
          </w:tcPr>
          <w:p w:rsidR="004A5B0F" w:rsidRPr="004A5B0F" w:rsidRDefault="004A5B0F" w:rsidP="004A5B0F">
            <w:pPr>
              <w:jc w:val="both"/>
              <w:rPr>
                <w:rFonts w:cstheme="minorHAnsi"/>
              </w:rPr>
            </w:pPr>
            <w:r w:rsidRPr="004A5B0F">
              <w:rPr>
                <w:rFonts w:cstheme="minorHAnsi"/>
              </w:rPr>
              <w:t xml:space="preserve">U skladu s Točkom 2.1. Poziva- Prihvatljivost prijavitelja, prihvatljivim se smatraju  ustanove kojima su osnivači ili suosnivači Republika Hrvatska i/ili jedinica lokalne i područne (regionalne) koje su upisane u sudski registar sa sjedištem na području </w:t>
            </w:r>
            <w:r w:rsidRPr="004A5B0F">
              <w:rPr>
                <w:rFonts w:cstheme="minorHAnsi"/>
              </w:rPr>
              <w:t>Grada Zagreba, Krapinsko-zagorske županije, Zagrebačke županije, Sisačko-moslavačke županije, Karlovačke županije, Varaždinske županije, Međimurske županije, Brodsko-posavske županije, Koprivničko-križevačke županije i Bjelovarsko-bilogorske županije</w:t>
            </w:r>
            <w:r w:rsidRPr="004A5B0F">
              <w:rPr>
                <w:rFonts w:cstheme="minorHAnsi"/>
              </w:rPr>
              <w:t>, a obavljaju djelatnost u području kulture i medija.</w:t>
            </w:r>
          </w:p>
          <w:p w:rsidR="002D2A0C" w:rsidRPr="004A5B0F" w:rsidRDefault="004A5B0F" w:rsidP="004A5B0F">
            <w:pPr>
              <w:jc w:val="both"/>
              <w:rPr>
                <w:rFonts w:cstheme="minorHAnsi"/>
              </w:rPr>
            </w:pPr>
            <w:r w:rsidRPr="004A5B0F">
              <w:rPr>
                <w:rFonts w:cstheme="minorHAnsi"/>
              </w:rPr>
              <w:t xml:space="preserve">Iz navedenog slijedi da se ustanove koje su registrirane za obavljanje </w:t>
            </w:r>
            <w:r>
              <w:rPr>
                <w:rFonts w:cstheme="minorHAnsi"/>
              </w:rPr>
              <w:t xml:space="preserve">drugih </w:t>
            </w:r>
            <w:r w:rsidRPr="004A5B0F">
              <w:rPr>
                <w:rFonts w:cstheme="minorHAnsi"/>
              </w:rPr>
              <w:t>djelatnosti ne smatraju prihvatljivim prijaviteljima.</w:t>
            </w:r>
          </w:p>
        </w:tc>
      </w:tr>
      <w:tr w:rsidR="00BA6316" w:rsidRPr="00D62C11" w:rsidTr="006A65E8">
        <w:trPr>
          <w:trHeight w:val="557"/>
        </w:trPr>
        <w:tc>
          <w:tcPr>
            <w:tcW w:w="8316" w:type="dxa"/>
          </w:tcPr>
          <w:p w:rsidR="00BA6316" w:rsidRPr="00BA6316" w:rsidRDefault="00BA6316" w:rsidP="00BA6316">
            <w:pPr>
              <w:jc w:val="both"/>
              <w:rPr>
                <w:rFonts w:eastAsia="Times New Roman"/>
                <w:color w:val="000000"/>
              </w:rPr>
            </w:pPr>
            <w:r w:rsidRPr="00BA6316">
              <w:rPr>
                <w:rFonts w:eastAsia="Times New Roman"/>
                <w:color w:val="000000"/>
              </w:rPr>
              <w:t>Molim vas odgovor oko unosa procijenjenih vrijednosti u troškovnik za konstruktivnu obnovu.</w:t>
            </w:r>
          </w:p>
          <w:p w:rsidR="00BA6316" w:rsidRPr="00BA6316" w:rsidRDefault="00BA6316" w:rsidP="00BA6316">
            <w:pPr>
              <w:jc w:val="both"/>
              <w:rPr>
                <w:rFonts w:eastAsia="Times New Roman"/>
                <w:color w:val="000000"/>
              </w:rPr>
            </w:pPr>
            <w:r w:rsidRPr="00BA6316">
              <w:rPr>
                <w:rFonts w:eastAsia="Times New Roman"/>
                <w:color w:val="000000"/>
              </w:rPr>
              <w:t>Naime na natječaj bi se prijavila zgrada koja je visokovalorizirano dobro i nalazi se u Programu obnove za područje grada Siska (predviđen je model obnove C)</w:t>
            </w:r>
          </w:p>
          <w:p w:rsidR="00BA6316" w:rsidRPr="00BA6316" w:rsidRDefault="00BA6316" w:rsidP="00BA6316">
            <w:pPr>
              <w:jc w:val="both"/>
              <w:rPr>
                <w:rFonts w:eastAsia="Times New Roman"/>
                <w:color w:val="000000"/>
              </w:rPr>
            </w:pPr>
            <w:r w:rsidRPr="00BA6316">
              <w:rPr>
                <w:rFonts w:eastAsia="Times New Roman"/>
                <w:color w:val="000000"/>
              </w:rPr>
              <w:t>Elaborat postojećeg stanja je utvrdio da je zgrada za rušenje (pregledom je dobila crvenu oznaku) uz uvjet Konzervatorskog odjela da se treba sačuvati pročelje u cijelosti.</w:t>
            </w:r>
          </w:p>
          <w:p w:rsidR="00BA6316" w:rsidRPr="00BA6316" w:rsidRDefault="00BA6316" w:rsidP="00BA6316">
            <w:pPr>
              <w:jc w:val="both"/>
              <w:rPr>
                <w:rFonts w:eastAsia="Times New Roman"/>
                <w:color w:val="000000"/>
              </w:rPr>
            </w:pPr>
            <w:r w:rsidRPr="00BA6316">
              <w:rPr>
                <w:rFonts w:eastAsia="Times New Roman"/>
                <w:color w:val="000000"/>
              </w:rPr>
              <w:t>Kako u tabelaru maksimalnih cijena radova i usluga koji je u privitku Odluke o donošenju Programa mjera nema tablice za zamjensku gradnju zgrada, kojom tablicom se mi vodimo?</w:t>
            </w:r>
          </w:p>
          <w:p w:rsidR="00BA6316" w:rsidRDefault="00BA6316" w:rsidP="00BA6316">
            <w:pPr>
              <w:jc w:val="both"/>
              <w:rPr>
                <w:rFonts w:eastAsia="Times New Roman"/>
                <w:color w:val="000000"/>
              </w:rPr>
            </w:pPr>
            <w:r w:rsidRPr="00BA6316">
              <w:rPr>
                <w:rFonts w:eastAsia="Times New Roman"/>
                <w:color w:val="000000"/>
              </w:rPr>
              <w:t>Da li je ispravno navesti cijene iz tablice:</w:t>
            </w:r>
          </w:p>
          <w:p w:rsidR="00BA6316" w:rsidRDefault="00BA6316" w:rsidP="00BA6316">
            <w:pPr>
              <w:jc w:val="both"/>
              <w:rPr>
                <w:rFonts w:eastAsia="Times New Roman"/>
                <w:color w:val="000000"/>
              </w:rPr>
            </w:pPr>
          </w:p>
        </w:tc>
        <w:tc>
          <w:tcPr>
            <w:tcW w:w="7072" w:type="dxa"/>
          </w:tcPr>
          <w:p w:rsidR="004A5B0F" w:rsidRDefault="004A5B0F" w:rsidP="004A5B0F">
            <w:pPr>
              <w:rPr>
                <w:rFonts w:cstheme="minorHAnsi"/>
              </w:rPr>
            </w:pPr>
            <w:r>
              <w:rPr>
                <w:rFonts w:cstheme="minorHAnsi"/>
              </w:rPr>
              <w:t xml:space="preserve">Konstruktivna obnova </w:t>
            </w:r>
            <w:r w:rsidR="006A667A">
              <w:rPr>
                <w:rFonts w:cstheme="minorHAnsi"/>
              </w:rPr>
              <w:t xml:space="preserve">građevine </w:t>
            </w:r>
            <w:r>
              <w:rPr>
                <w:rFonts w:cstheme="minorHAnsi"/>
              </w:rPr>
              <w:t>ne podrazumijeva ponovnu izgradnju ili rekonstrukciju uklonjene zgrade i</w:t>
            </w:r>
            <w:r w:rsidR="006A667A">
              <w:rPr>
                <w:rFonts w:cstheme="minorHAnsi"/>
              </w:rPr>
              <w:t>li</w:t>
            </w:r>
            <w:r>
              <w:rPr>
                <w:rFonts w:cstheme="minorHAnsi"/>
              </w:rPr>
              <w:t xml:space="preserve"> njenog dijela nego samo obnovu postojeće </w:t>
            </w:r>
            <w:r w:rsidR="006A667A">
              <w:rPr>
                <w:rFonts w:cstheme="minorHAnsi"/>
              </w:rPr>
              <w:t>konstrukcije</w:t>
            </w:r>
            <w:r>
              <w:rPr>
                <w:rFonts w:cstheme="minorHAnsi"/>
              </w:rPr>
              <w:t xml:space="preserve">. Stoga, rekonstrukciju uklonjene zgrade nije moguće financirati po ovom Pozivu. Očuvanje i obnovu pročelja propisane uvjetima nadležnog tijela za zaštitu kulturne baštine </w:t>
            </w:r>
            <w:r w:rsidR="006A667A">
              <w:rPr>
                <w:rFonts w:cstheme="minorHAnsi"/>
              </w:rPr>
              <w:t xml:space="preserve">biti će </w:t>
            </w:r>
            <w:r>
              <w:rPr>
                <w:rFonts w:cstheme="minorHAnsi"/>
              </w:rPr>
              <w:t xml:space="preserve">moguće </w:t>
            </w:r>
            <w:r w:rsidR="006A667A">
              <w:rPr>
                <w:rFonts w:cstheme="minorHAnsi"/>
              </w:rPr>
              <w:t>su</w:t>
            </w:r>
            <w:r>
              <w:rPr>
                <w:rFonts w:cstheme="minorHAnsi"/>
              </w:rPr>
              <w:t xml:space="preserve">financirati iz </w:t>
            </w:r>
            <w:r>
              <w:rPr>
                <w:rFonts w:cstheme="minorHAnsi"/>
              </w:rPr>
              <w:t>drugih izvo</w:t>
            </w:r>
            <w:r w:rsidR="006A667A">
              <w:rPr>
                <w:rFonts w:cstheme="minorHAnsi"/>
              </w:rPr>
              <w:t>ra kada se za to steknu uvjeti, odnosno, prije svega izradi odgovarajuća projektna dokumentacija.</w:t>
            </w:r>
          </w:p>
          <w:p w:rsidR="004A5B0F" w:rsidRDefault="0023601E" w:rsidP="004A5B0F">
            <w:pPr>
              <w:rPr>
                <w:rFonts w:cstheme="minorHAnsi"/>
              </w:rPr>
            </w:pPr>
            <w:r w:rsidRPr="0023601E">
              <w:rPr>
                <w:rFonts w:cstheme="minorHAnsi"/>
              </w:rPr>
              <w:t xml:space="preserve">Procjene troškova obnove kulturne baštine </w:t>
            </w:r>
            <w:r>
              <w:rPr>
                <w:rFonts w:cstheme="minorHAnsi"/>
              </w:rPr>
              <w:t>ovise o kategoriji kulturne baštine, kompleksnosti njene obnove i drugim elementima</w:t>
            </w:r>
            <w:r w:rsidR="005F1936">
              <w:rPr>
                <w:rFonts w:cstheme="minorHAnsi"/>
              </w:rPr>
              <w:t xml:space="preserve"> koje je potrebno uzeti u obzir</w:t>
            </w:r>
            <w:r w:rsidR="004A5B0F">
              <w:rPr>
                <w:rFonts w:cstheme="minorHAnsi"/>
              </w:rPr>
              <w:t xml:space="preserve"> prilikom procjene troškova obnove, a na osnovu iskustva na obnovi kulturne baštine.  </w:t>
            </w:r>
          </w:p>
          <w:p w:rsidR="004A5B0F" w:rsidRPr="0023601E" w:rsidRDefault="004A5B0F" w:rsidP="004A5B0F">
            <w:pPr>
              <w:rPr>
                <w:rFonts w:cstheme="minorHAnsi"/>
              </w:rPr>
            </w:pPr>
          </w:p>
        </w:tc>
      </w:tr>
      <w:tr w:rsidR="006A65E8" w:rsidRPr="00D62C11" w:rsidTr="006A65E8">
        <w:trPr>
          <w:trHeight w:val="557"/>
        </w:trPr>
        <w:tc>
          <w:tcPr>
            <w:tcW w:w="8316" w:type="dxa"/>
          </w:tcPr>
          <w:p w:rsidR="006A65E8" w:rsidRPr="00CF0C98" w:rsidRDefault="006A65E8" w:rsidP="006A65E8">
            <w:pPr>
              <w:jc w:val="both"/>
              <w:rPr>
                <w:rFonts w:eastAsia="Times New Roman"/>
                <w:szCs w:val="24"/>
              </w:rPr>
            </w:pPr>
            <w:r w:rsidRPr="00CF0C98">
              <w:rPr>
                <w:rFonts w:eastAsia="Times New Roman"/>
                <w:szCs w:val="24"/>
              </w:rPr>
              <w:t xml:space="preserve">Pod točkom 2.6. Prihvatljive aktivnosti operacije, Aktivnost 1 – Priprema projektne dokumentacije za provedbu mjera zaštite kulturne baštine oštećene u potresu razdvojena je na Intervenciju 1 i Intervenciju 2. U Intervenciji 1. navedeno je da se prihvatljivom </w:t>
            </w:r>
            <w:r w:rsidRPr="00CF0C98">
              <w:rPr>
                <w:rFonts w:eastAsia="Times New Roman"/>
                <w:szCs w:val="24"/>
              </w:rPr>
              <w:lastRenderedPageBreak/>
              <w:t>aktivnošću smatra izrada projekta obnove konstrukcije zgrade sukladno Pravilniku o tehničkim elementima projektne dokumentacije obnove, projekta za uklanjanje i projekta za građenje zamjenske obiteljske kuće oštećen u potresu na području Grada Zagreba, Krapinsko -zagorske županije i Zagrebačke županije (NN127/20), a u Intervenciji 2. izrada dokumentacije potrebne za cjelovitu obnovu koja nije navedena pod Intervencijom 1.</w:t>
            </w:r>
          </w:p>
          <w:p w:rsidR="006A65E8" w:rsidRPr="00CF0C98" w:rsidRDefault="006A65E8" w:rsidP="006A65E8">
            <w:pPr>
              <w:jc w:val="both"/>
              <w:rPr>
                <w:rFonts w:eastAsia="Times New Roman"/>
                <w:szCs w:val="24"/>
              </w:rPr>
            </w:pPr>
            <w:r w:rsidRPr="00CF0C98">
              <w:rPr>
                <w:rFonts w:eastAsia="Times New Roman"/>
                <w:szCs w:val="24"/>
              </w:rPr>
              <w:t>Obzirom da nije u skladu sa Zakonom o obnovi da se zgrade javne namjene mogu obnavljati da se zadovoljava samo temeljni zahtjev za mehaničku otpornost i stabilnost, a ostali temeljni zahtjevi zadržavaju na nivou prije potresa, za iste nije predviđeno da se izrađuje Projekt obnove konstrukcije zgrade.</w:t>
            </w:r>
          </w:p>
          <w:p w:rsidR="006A65E8" w:rsidRPr="00CF0C98" w:rsidRDefault="006A65E8" w:rsidP="006A65E8">
            <w:pPr>
              <w:jc w:val="both"/>
              <w:rPr>
                <w:rFonts w:eastAsia="Times New Roman"/>
                <w:szCs w:val="24"/>
              </w:rPr>
            </w:pPr>
            <w:r w:rsidRPr="00CF0C98">
              <w:rPr>
                <w:rFonts w:eastAsia="Times New Roman"/>
                <w:szCs w:val="24"/>
              </w:rPr>
              <w:t>Sadržaj Projekta obnove konstrukcije zgrade je propisan Pravilnikom i nije u potpunosti primjenjiv na zgrade javne namjene, jer se takvim projektom zadržava postojeće stanje svih temeljnih zahtjeva osim temeljnog zahtjeva za mehaničku otpornost i stabilnost.</w:t>
            </w:r>
          </w:p>
          <w:p w:rsidR="006A65E8" w:rsidRPr="00CF0C98" w:rsidRDefault="006A65E8" w:rsidP="006A65E8">
            <w:pPr>
              <w:jc w:val="both"/>
              <w:rPr>
                <w:rFonts w:eastAsia="Times New Roman"/>
                <w:szCs w:val="24"/>
              </w:rPr>
            </w:pPr>
            <w:r w:rsidRPr="00CF0C98">
              <w:rPr>
                <w:rFonts w:eastAsia="Times New Roman"/>
                <w:szCs w:val="24"/>
              </w:rPr>
              <w:t>Dakle projektom obnove konstrukcije ukoliko ojačanje konstrukcije utječe na npr. elektroinstalacije, one bi se projektom elektroinstalacija projektirale na način do ostanu kakve jesu bez obzira što ne zadovoljavaju današnje propise (osvijetljenost prostora propisana Zakonom o zaštiti na radu). Dakle projektant bi bio dužan izraditi projektnu dokumentaciju na temelju koje se neće izvoditi radovi, osim građevinskog projekta – projekta konstrukcije, obzirom da je investitor dužan zgradu obnoviti na način da zadovoljava sve temeljne zahtjeve za građevinu.</w:t>
            </w:r>
          </w:p>
          <w:p w:rsidR="006A65E8" w:rsidRPr="00CF0C98" w:rsidRDefault="006A65E8" w:rsidP="006A65E8">
            <w:pPr>
              <w:jc w:val="both"/>
              <w:rPr>
                <w:rFonts w:eastAsia="Times New Roman"/>
                <w:szCs w:val="24"/>
              </w:rPr>
            </w:pPr>
            <w:r w:rsidRPr="00CF0C98">
              <w:rPr>
                <w:rFonts w:eastAsia="Times New Roman"/>
                <w:szCs w:val="24"/>
              </w:rPr>
              <w:t>Obzirom da je investitor obvezan zgradu obnoviti cjelovitom obnovom dužan je izraditi projekt cjelovite obnove, izrada projekta obnove konstrukcije zgrade može se tumačiti kao kršenje Zakona.</w:t>
            </w:r>
          </w:p>
          <w:p w:rsidR="006A65E8" w:rsidRPr="00CF0C98" w:rsidRDefault="006A65E8" w:rsidP="006A65E8">
            <w:pPr>
              <w:jc w:val="both"/>
              <w:rPr>
                <w:rFonts w:eastAsia="Times New Roman"/>
                <w:szCs w:val="24"/>
              </w:rPr>
            </w:pPr>
            <w:r w:rsidRPr="00CF0C98">
              <w:rPr>
                <w:rFonts w:eastAsia="Times New Roman"/>
                <w:szCs w:val="24"/>
              </w:rPr>
              <w:t>Može li se raspisati javna nabava sukladno Zakonu o javnoj nabavi za izradu Projektne dokumentacije za cjelovitu obnovu zgrade i u troškovniku u sklopu dokumentacije o nabavi tražiti ponuditelja da jasno razgraniči iznos koji bi se odnosio na izradu projektne dokumentacije da se zadovolji temeljni zahtjev za mehaničku otpornost i stabilnost, a ostali zahtjevi zadrže na nivou prije potresa i iznos koji bi se odnosio na „poboljšice“ ostalih temeljnih zahtjeva.</w:t>
            </w:r>
          </w:p>
          <w:p w:rsidR="006A65E8" w:rsidRPr="00CF0C98" w:rsidRDefault="006A65E8" w:rsidP="006A65E8">
            <w:pPr>
              <w:jc w:val="both"/>
              <w:rPr>
                <w:rFonts w:eastAsia="Times New Roman"/>
                <w:szCs w:val="24"/>
              </w:rPr>
            </w:pPr>
            <w:r w:rsidRPr="00CF0C98">
              <w:rPr>
                <w:rFonts w:eastAsia="Times New Roman"/>
                <w:szCs w:val="24"/>
              </w:rPr>
              <w:t>Dakle, da li je moguće izraditi jedan Projekt cjelovite obnove zgrade gdje se određeni postotak cijene izrade dokumentacije smatra opravdanim prema Intervenciji 1, a ostatak cijene prema Intervenciji 2. investitor bi osigurao sredstva za razliku (ostatak projektne dokumentacije), te kad se ostvare uvjeti za to potraživao naknadu sredstava za razliku cijene u izradi projektne dokumentacije.</w:t>
            </w:r>
          </w:p>
          <w:p w:rsidR="006A65E8" w:rsidRPr="00CF0C98" w:rsidRDefault="006A65E8" w:rsidP="006A65E8">
            <w:pPr>
              <w:jc w:val="both"/>
              <w:rPr>
                <w:rFonts w:eastAsia="Times New Roman"/>
                <w:szCs w:val="24"/>
              </w:rPr>
            </w:pPr>
            <w:r w:rsidRPr="00CF0C98">
              <w:rPr>
                <w:rFonts w:eastAsia="Times New Roman"/>
                <w:szCs w:val="24"/>
              </w:rPr>
              <w:t>Sukladno tome, tražilo bi se projektanta da i u projektnoj dokumentacije jasno razgraniči vrijednost radova koji se odnose na poboljšanja temeljnog zahtjeva za mehaničku otpornost i stabilnost i zadržavanje postojećeg stanja ostalih temeljnih zahtjeva, a koji na „poboljšice“.</w:t>
            </w:r>
          </w:p>
          <w:p w:rsidR="006A65E8" w:rsidRPr="00CF0C98" w:rsidRDefault="006A65E8" w:rsidP="006A65E8">
            <w:pPr>
              <w:jc w:val="both"/>
              <w:rPr>
                <w:rFonts w:eastAsia="Times New Roman"/>
                <w:szCs w:val="24"/>
              </w:rPr>
            </w:pPr>
            <w:r w:rsidRPr="00CF0C98">
              <w:rPr>
                <w:rFonts w:eastAsia="Times New Roman"/>
                <w:szCs w:val="24"/>
              </w:rPr>
              <w:lastRenderedPageBreak/>
              <w:t xml:space="preserve">Skrećem pozornost da su Ministarstvo zdravstva i Ministarstvo znanosti i obrazovanja u svojim natječajima predvidjeli samo izradu projekta cjelovite obnove zgrade, kako je i propisano Zakonom o obnovi. </w:t>
            </w:r>
          </w:p>
          <w:p w:rsidR="006A65E8" w:rsidRDefault="006A65E8" w:rsidP="006A65E8">
            <w:pPr>
              <w:jc w:val="both"/>
              <w:rPr>
                <w:rFonts w:eastAsia="Times New Roman"/>
                <w:b/>
                <w:sz w:val="24"/>
                <w:szCs w:val="24"/>
              </w:rPr>
            </w:pPr>
            <w:r w:rsidRPr="00CF0C98">
              <w:rPr>
                <w:rFonts w:eastAsia="Times New Roman"/>
                <w:szCs w:val="24"/>
              </w:rPr>
              <w:t>Ukoliko ne možemo raspisati javnu nabavu za Projekt cjelovite obnove zgrade na gore navedeni način, molim uputu na koji način Projekt cjelovite obnove zgrade sukladno Zakonu o obnovi rastaviti na Projekt obnove konstrukcije i ostatak dokumentacije potrebne za cjelovitu obnovu s obzirom da je riječ o DVA RAZLIČITA projekta koji nisu nastavak jednog na drugi, niti se međusobno dopunjuju.</w:t>
            </w:r>
          </w:p>
        </w:tc>
        <w:tc>
          <w:tcPr>
            <w:tcW w:w="7072" w:type="dxa"/>
          </w:tcPr>
          <w:p w:rsidR="006A65E8" w:rsidRDefault="006A65E8" w:rsidP="006A65E8">
            <w:pPr>
              <w:jc w:val="both"/>
              <w:rPr>
                <w:rFonts w:cstheme="minorHAnsi"/>
              </w:rPr>
            </w:pPr>
            <w:r>
              <w:rPr>
                <w:rFonts w:cstheme="minorHAnsi"/>
              </w:rPr>
              <w:lastRenderedPageBreak/>
              <w:t xml:space="preserve">Obnova kulturnih dobara je kompleksna i zahtijeva cjeloviti pristup, međutim, iz Fonda solidarnosti Europske unije financiraju se samo neposredne mjere zaštite kulturnih dobara čija je provedba jedan od ciljeva Poziva. Pozivom za </w:t>
            </w:r>
            <w:r>
              <w:rPr>
                <w:rFonts w:cstheme="minorHAnsi"/>
              </w:rPr>
              <w:lastRenderedPageBreak/>
              <w:t xml:space="preserve">provedbu mjera zaštite namjerava se osigurati sve preduvjete za cjelovitu obnovu kulturne baštine i provedbu neposrednih mjera zaštite kulturne baštine čije je financiranje predviđeno Fondom. </w:t>
            </w:r>
            <w:r>
              <w:t xml:space="preserve"> </w:t>
            </w:r>
            <w:r w:rsidRPr="00393613">
              <w:rPr>
                <w:rFonts w:cstheme="minorHAnsi"/>
              </w:rPr>
              <w:t>Poboljšanje stanja mehaničke otpornosti i stabilnosti građevine koja ima status kulturnog dobra smatramo neposrednom mjerom zaštite</w:t>
            </w:r>
            <w:r>
              <w:rPr>
                <w:rFonts w:cstheme="minorHAnsi"/>
              </w:rPr>
              <w:t xml:space="preserve"> i očuvanja</w:t>
            </w:r>
            <w:r w:rsidRPr="00393613">
              <w:rPr>
                <w:rFonts w:cstheme="minorHAnsi"/>
              </w:rPr>
              <w:t xml:space="preserve"> kulturnog dobra stoga </w:t>
            </w:r>
            <w:r>
              <w:rPr>
                <w:rFonts w:cstheme="minorHAnsi"/>
              </w:rPr>
              <w:t xml:space="preserve">je </w:t>
            </w:r>
            <w:r w:rsidRPr="00393613">
              <w:rPr>
                <w:rFonts w:cstheme="minorHAnsi"/>
              </w:rPr>
              <w:t xml:space="preserve">Poziv </w:t>
            </w:r>
            <w:r>
              <w:rPr>
                <w:rFonts w:cstheme="minorHAnsi"/>
              </w:rPr>
              <w:t>koncipiran na ovaj način.</w:t>
            </w:r>
            <w:r w:rsidRPr="00393613">
              <w:rPr>
                <w:rFonts w:cstheme="minorHAnsi"/>
              </w:rPr>
              <w:t xml:space="preserve"> </w:t>
            </w:r>
          </w:p>
          <w:p w:rsidR="006A65E8" w:rsidRDefault="006A65E8" w:rsidP="006A65E8">
            <w:pPr>
              <w:jc w:val="both"/>
              <w:rPr>
                <w:rFonts w:cstheme="minorHAnsi"/>
              </w:rPr>
            </w:pPr>
            <w:r>
              <w:rPr>
                <w:rFonts w:cstheme="minorHAnsi"/>
              </w:rPr>
              <w:t xml:space="preserve">Tako koncipiran Poziv dobio je suglasnost Nacionalnog koordinacijskog tijela – Ministarstva prostornog uređenja, građenja i državne imovine. </w:t>
            </w:r>
          </w:p>
          <w:p w:rsidR="006A65E8" w:rsidRDefault="006A65E8" w:rsidP="006A65E8">
            <w:pPr>
              <w:jc w:val="both"/>
              <w:rPr>
                <w:rFonts w:cstheme="minorHAnsi"/>
              </w:rPr>
            </w:pPr>
            <w:r>
              <w:rPr>
                <w:rFonts w:cstheme="minorHAnsi"/>
              </w:rPr>
              <w:t xml:space="preserve">Provedba cjelovite obnove kulturnih dobara zbog svoje kompleksnosti  će </w:t>
            </w:r>
            <w:r w:rsidR="005626BE">
              <w:rPr>
                <w:rFonts w:cstheme="minorHAnsi"/>
              </w:rPr>
              <w:t>biti dugotrajna što zahtijeva</w:t>
            </w:r>
            <w:r>
              <w:rPr>
                <w:rFonts w:cstheme="minorHAnsi"/>
              </w:rPr>
              <w:t xml:space="preserve"> </w:t>
            </w:r>
            <w:r w:rsidR="005626BE">
              <w:rPr>
                <w:rFonts w:cstheme="minorHAnsi"/>
              </w:rPr>
              <w:t>provedbu obnove</w:t>
            </w:r>
            <w:r>
              <w:rPr>
                <w:rFonts w:cstheme="minorHAnsi"/>
              </w:rPr>
              <w:t xml:space="preserve"> u fazama i </w:t>
            </w:r>
            <w:r w:rsidR="005626BE">
              <w:rPr>
                <w:rFonts w:cstheme="minorHAnsi"/>
              </w:rPr>
              <w:t>financiranje</w:t>
            </w:r>
            <w:r>
              <w:rPr>
                <w:rFonts w:cstheme="minorHAnsi"/>
              </w:rPr>
              <w:t xml:space="preserve"> iz različitih izvora. P</w:t>
            </w:r>
            <w:r w:rsidR="005626BE">
              <w:rPr>
                <w:rFonts w:cstheme="minorHAnsi"/>
              </w:rPr>
              <w:t>otporu</w:t>
            </w:r>
            <w:r w:rsidRPr="001D2F52">
              <w:rPr>
                <w:rFonts w:cstheme="minorHAnsi"/>
              </w:rPr>
              <w:t xml:space="preserve"> FSEU-a </w:t>
            </w:r>
            <w:r w:rsidR="005626BE">
              <w:rPr>
                <w:rFonts w:cstheme="minorHAnsi"/>
              </w:rPr>
              <w:t>moguće je</w:t>
            </w:r>
            <w:r w:rsidRPr="001D2F52">
              <w:rPr>
                <w:rFonts w:cstheme="minorHAnsi"/>
              </w:rPr>
              <w:t xml:space="preserve"> koristiti samo za sufinanciranje dijela troškova jednakih obn</w:t>
            </w:r>
            <w:r>
              <w:rPr>
                <w:rFonts w:cstheme="minorHAnsi"/>
              </w:rPr>
              <w:t xml:space="preserve">ovi radnog stanja prije potresa, međutim, obnova konstrukcije u stanje prije nastanka štete nije u skladu s mjerama zaštite kulturnog dobra stoga se neposrednom mjerom zaštite kulturnog dobra smatra poboljšanje konstrukcije i provedba svih radnji u svrhu očuvanja svojstva kulturnog dobra dok će poboljšanje ostalih temeljnih zahtjeva za građevinu biti obuhvaćeno cjelovitom obnovom građevine koja će bit druga faza cjelovite obnove. </w:t>
            </w:r>
            <w:r w:rsidRPr="001D2F52">
              <w:rPr>
                <w:rFonts w:cstheme="minorHAnsi"/>
              </w:rPr>
              <w:t xml:space="preserve">Troškovi </w:t>
            </w:r>
            <w:r>
              <w:rPr>
                <w:rFonts w:cstheme="minorHAnsi"/>
              </w:rPr>
              <w:t>izrade projekta</w:t>
            </w:r>
            <w:r w:rsidRPr="001D2F52">
              <w:rPr>
                <w:rFonts w:cstheme="minorHAnsi"/>
              </w:rPr>
              <w:t xml:space="preserve"> cjelovite obnove </w:t>
            </w:r>
            <w:r>
              <w:rPr>
                <w:rFonts w:cstheme="minorHAnsi"/>
              </w:rPr>
              <w:t xml:space="preserve">i provedbe cjelovite obnove kulturnog dobra </w:t>
            </w:r>
            <w:r w:rsidRPr="001D2F52">
              <w:rPr>
                <w:rFonts w:cstheme="minorHAnsi"/>
              </w:rPr>
              <w:t xml:space="preserve">koji neće biti prihvatljivi </w:t>
            </w:r>
            <w:r>
              <w:rPr>
                <w:rFonts w:cstheme="minorHAnsi"/>
              </w:rPr>
              <w:t>trošak</w:t>
            </w:r>
            <w:r w:rsidRPr="001D2F52">
              <w:rPr>
                <w:rFonts w:cstheme="minorHAnsi"/>
              </w:rPr>
              <w:t xml:space="preserve"> iz FSEU</w:t>
            </w:r>
            <w:r>
              <w:rPr>
                <w:rFonts w:cstheme="minorHAnsi"/>
              </w:rPr>
              <w:t xml:space="preserve"> jer spadaju u</w:t>
            </w:r>
            <w:r w:rsidRPr="001D2F52">
              <w:rPr>
                <w:rFonts w:cstheme="minorHAnsi"/>
              </w:rPr>
              <w:t xml:space="preserve"> kategoriju </w:t>
            </w:r>
            <w:r>
              <w:rPr>
                <w:rFonts w:cstheme="minorHAnsi"/>
              </w:rPr>
              <w:t>poboljšanja</w:t>
            </w:r>
            <w:r w:rsidRPr="001D2F52">
              <w:rPr>
                <w:rFonts w:cstheme="minorHAnsi"/>
              </w:rPr>
              <w:t xml:space="preserve"> neće biti financirani sredstvima FSEU već će biti financirani iz drugih izvora.“</w:t>
            </w:r>
          </w:p>
          <w:p w:rsidR="006A65E8" w:rsidRDefault="006A667A" w:rsidP="009713A8">
            <w:pPr>
              <w:jc w:val="both"/>
              <w:rPr>
                <w:rFonts w:cstheme="minorHAnsi"/>
              </w:rPr>
            </w:pPr>
            <w:r>
              <w:rPr>
                <w:rFonts w:cstheme="minorHAnsi"/>
              </w:rPr>
              <w:t>Propisi</w:t>
            </w:r>
            <w:r w:rsidR="006A65E8">
              <w:rPr>
                <w:rFonts w:cstheme="minorHAnsi"/>
              </w:rPr>
              <w:t xml:space="preserve"> kojim</w:t>
            </w:r>
            <w:r>
              <w:rPr>
                <w:rFonts w:cstheme="minorHAnsi"/>
              </w:rPr>
              <w:t>a</w:t>
            </w:r>
            <w:r w:rsidR="006A65E8">
              <w:rPr>
                <w:rFonts w:cstheme="minorHAnsi"/>
              </w:rPr>
              <w:t xml:space="preserve"> su utvrđeni</w:t>
            </w:r>
            <w:r w:rsidR="006A65E8">
              <w:t xml:space="preserve"> </w:t>
            </w:r>
            <w:r w:rsidR="006A65E8">
              <w:rPr>
                <w:rFonts w:cstheme="minorHAnsi"/>
              </w:rPr>
              <w:t xml:space="preserve">osnovni elementi provedbe obnove, </w:t>
            </w:r>
            <w:r>
              <w:rPr>
                <w:rFonts w:cstheme="minorHAnsi"/>
              </w:rPr>
              <w:t>predviđaju obnovu po fazama i ne propisuju</w:t>
            </w:r>
            <w:r w:rsidR="006A65E8">
              <w:rPr>
                <w:rFonts w:cstheme="minorHAnsi"/>
              </w:rPr>
              <w:t xml:space="preserve"> da zgrade za koje je predviđena izrada projekta obnove konstrukcije ne mogu nakon izvedene obnove konstrukcije biti predmetom projekta cjelovite obnove i provedbe cjelovite obnove ukoliko </w:t>
            </w:r>
            <w:r w:rsidR="005626BE">
              <w:rPr>
                <w:rFonts w:cstheme="minorHAnsi"/>
              </w:rPr>
              <w:t>ć</w:t>
            </w:r>
            <w:r>
              <w:rPr>
                <w:rFonts w:cstheme="minorHAnsi"/>
              </w:rPr>
              <w:t xml:space="preserve">e </w:t>
            </w:r>
            <w:r w:rsidR="005626BE">
              <w:rPr>
                <w:rFonts w:cstheme="minorHAnsi"/>
              </w:rPr>
              <w:t>osiguranje izvora financiranja biti provedeno u fazama</w:t>
            </w:r>
            <w:r w:rsidR="006A65E8">
              <w:rPr>
                <w:rFonts w:cstheme="minorHAnsi"/>
              </w:rPr>
              <w:t xml:space="preserve">. Dakle, jedan projekt ne isključuje drugi. </w:t>
            </w:r>
          </w:p>
          <w:p w:rsidR="009713A8" w:rsidRDefault="009713A8" w:rsidP="005626BE">
            <w:pPr>
              <w:jc w:val="both"/>
              <w:rPr>
                <w:rFonts w:cstheme="minorHAnsi"/>
              </w:rPr>
            </w:pPr>
            <w:r>
              <w:rPr>
                <w:rFonts w:cstheme="minorHAnsi"/>
              </w:rPr>
              <w:t xml:space="preserve">Osim toga, kulturna baština obuhvaća različite kategorije zgrada te kod pojedinih kategorija neće biti moguće projektom cjelovite obnove zadovoljiti sve propisane temeljne zahtjeve za građevine bez utjecaja na svojstvo kulturnog dobra pa tako ni propisati jednake kriterije za projekte cjelovite obnove. Stoga se dovođenje stanja građevinske konstrukcije na razinu sigurnosti na potres koja je propisana za građevinske konstrukcije i svim drugim </w:t>
            </w:r>
            <w:r w:rsidR="005626BE">
              <w:rPr>
                <w:rFonts w:cstheme="minorHAnsi"/>
              </w:rPr>
              <w:t>zahtjevima struke</w:t>
            </w:r>
            <w:r>
              <w:rPr>
                <w:rFonts w:cstheme="minorHAnsi"/>
              </w:rPr>
              <w:t xml:space="preserve"> koje je u tu svrhu nužno </w:t>
            </w:r>
            <w:r w:rsidR="005626BE">
              <w:rPr>
                <w:rFonts w:cstheme="minorHAnsi"/>
              </w:rPr>
              <w:t>provesti</w:t>
            </w:r>
            <w:r>
              <w:rPr>
                <w:rFonts w:cstheme="minorHAnsi"/>
              </w:rPr>
              <w:t xml:space="preserve"> smatramo nužnom mjerom zaštite kulturnih dobara. </w:t>
            </w:r>
          </w:p>
          <w:p w:rsidR="0023601E" w:rsidRDefault="0023601E" w:rsidP="005626BE">
            <w:pPr>
              <w:jc w:val="both"/>
              <w:rPr>
                <w:rFonts w:cstheme="minorHAnsi"/>
              </w:rPr>
            </w:pPr>
            <w:r w:rsidRPr="0023601E">
              <w:rPr>
                <w:rFonts w:cstheme="minorHAnsi"/>
              </w:rPr>
              <w:lastRenderedPageBreak/>
              <w:t xml:space="preserve">Predlagatelj može financirati izradu projekta cjelovite obnove zgrade (intervencija 2). Prihvatljivi trošak po ovom Pozivu u tom slučaju je izdvajanje projekta poboljšavanja temeljnog zahtjeva za mehaničku otpornost i stabilnost i s njom vezanih radova na očuvanju svojstva kulturnog dobra uz zadržavanje postojećeg stanja ostalih temeljnih zahtjeva kao prve faze cjelovite obnove kulturnog dobra, u svrhu provedbe neposrednih mjera zaštite kulturnog dobra.  </w:t>
            </w:r>
          </w:p>
        </w:tc>
      </w:tr>
    </w:tbl>
    <w:p w:rsidR="001235C6" w:rsidRDefault="001235C6" w:rsidP="00D7572B">
      <w:pPr>
        <w:jc w:val="both"/>
      </w:pPr>
    </w:p>
    <w:sectPr w:rsidR="001235C6" w:rsidSect="00AD4C2D">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FF" w:rsidRDefault="00FD09FF" w:rsidP="003E7EDA">
      <w:pPr>
        <w:spacing w:after="0" w:line="240" w:lineRule="auto"/>
      </w:pPr>
      <w:r>
        <w:separator/>
      </w:r>
    </w:p>
  </w:endnote>
  <w:endnote w:type="continuationSeparator" w:id="0">
    <w:p w:rsidR="00FD09FF" w:rsidRDefault="00FD09FF"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A64D14">
          <w:rPr>
            <w:noProof/>
          </w:rPr>
          <w:t>4</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FF" w:rsidRDefault="00FD09FF" w:rsidP="003E7EDA">
      <w:pPr>
        <w:spacing w:after="0" w:line="240" w:lineRule="auto"/>
      </w:pPr>
      <w:r>
        <w:separator/>
      </w:r>
    </w:p>
  </w:footnote>
  <w:footnote w:type="continuationSeparator" w:id="0">
    <w:p w:rsidR="00FD09FF" w:rsidRDefault="00FD09FF"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2170B"/>
    <w:rsid w:val="0002412A"/>
    <w:rsid w:val="00024FB2"/>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6198"/>
    <w:rsid w:val="000B6261"/>
    <w:rsid w:val="000B7042"/>
    <w:rsid w:val="000C5B63"/>
    <w:rsid w:val="000D0CC6"/>
    <w:rsid w:val="000D7550"/>
    <w:rsid w:val="000E2D52"/>
    <w:rsid w:val="000F0081"/>
    <w:rsid w:val="000F218A"/>
    <w:rsid w:val="000F321A"/>
    <w:rsid w:val="000F3307"/>
    <w:rsid w:val="000F4908"/>
    <w:rsid w:val="000F5ACA"/>
    <w:rsid w:val="000F720B"/>
    <w:rsid w:val="00100980"/>
    <w:rsid w:val="00101BDC"/>
    <w:rsid w:val="00105676"/>
    <w:rsid w:val="00105FB0"/>
    <w:rsid w:val="00106020"/>
    <w:rsid w:val="00114FA7"/>
    <w:rsid w:val="00117D6A"/>
    <w:rsid w:val="00121A38"/>
    <w:rsid w:val="001235C6"/>
    <w:rsid w:val="00127E7D"/>
    <w:rsid w:val="00130A14"/>
    <w:rsid w:val="00134858"/>
    <w:rsid w:val="00143616"/>
    <w:rsid w:val="00146CC1"/>
    <w:rsid w:val="00164EA8"/>
    <w:rsid w:val="00166AEF"/>
    <w:rsid w:val="00166B24"/>
    <w:rsid w:val="00170B70"/>
    <w:rsid w:val="0018089F"/>
    <w:rsid w:val="00183064"/>
    <w:rsid w:val="00193969"/>
    <w:rsid w:val="0019401B"/>
    <w:rsid w:val="00195B72"/>
    <w:rsid w:val="001A6152"/>
    <w:rsid w:val="001B50A4"/>
    <w:rsid w:val="001B7351"/>
    <w:rsid w:val="001C25C2"/>
    <w:rsid w:val="001C3213"/>
    <w:rsid w:val="001C45FF"/>
    <w:rsid w:val="001C5887"/>
    <w:rsid w:val="001D2FE9"/>
    <w:rsid w:val="001D4D37"/>
    <w:rsid w:val="001E1AFC"/>
    <w:rsid w:val="001E45AD"/>
    <w:rsid w:val="001E6FC6"/>
    <w:rsid w:val="001F0008"/>
    <w:rsid w:val="001F3EC6"/>
    <w:rsid w:val="00201173"/>
    <w:rsid w:val="00203D81"/>
    <w:rsid w:val="00210194"/>
    <w:rsid w:val="00212E55"/>
    <w:rsid w:val="00224B09"/>
    <w:rsid w:val="00226178"/>
    <w:rsid w:val="002309E7"/>
    <w:rsid w:val="0023221C"/>
    <w:rsid w:val="002346CE"/>
    <w:rsid w:val="002349E4"/>
    <w:rsid w:val="00235B56"/>
    <w:rsid w:val="0023601E"/>
    <w:rsid w:val="00237B33"/>
    <w:rsid w:val="00240C60"/>
    <w:rsid w:val="00241476"/>
    <w:rsid w:val="0025219F"/>
    <w:rsid w:val="002573FA"/>
    <w:rsid w:val="00261472"/>
    <w:rsid w:val="00264E75"/>
    <w:rsid w:val="00270877"/>
    <w:rsid w:val="00281556"/>
    <w:rsid w:val="0028669F"/>
    <w:rsid w:val="00292CA8"/>
    <w:rsid w:val="002A0FAD"/>
    <w:rsid w:val="002A11E1"/>
    <w:rsid w:val="002A237E"/>
    <w:rsid w:val="002A28CD"/>
    <w:rsid w:val="002C02D9"/>
    <w:rsid w:val="002C3917"/>
    <w:rsid w:val="002C681D"/>
    <w:rsid w:val="002D2A0C"/>
    <w:rsid w:val="002E30D9"/>
    <w:rsid w:val="002E3176"/>
    <w:rsid w:val="002E52ED"/>
    <w:rsid w:val="003048B2"/>
    <w:rsid w:val="00304DF8"/>
    <w:rsid w:val="00305DC7"/>
    <w:rsid w:val="00311532"/>
    <w:rsid w:val="00330E3A"/>
    <w:rsid w:val="003321A3"/>
    <w:rsid w:val="00332BAB"/>
    <w:rsid w:val="0033446B"/>
    <w:rsid w:val="003436BE"/>
    <w:rsid w:val="003477FD"/>
    <w:rsid w:val="00351F60"/>
    <w:rsid w:val="00354B9D"/>
    <w:rsid w:val="0036204E"/>
    <w:rsid w:val="00364072"/>
    <w:rsid w:val="00370712"/>
    <w:rsid w:val="00370BF4"/>
    <w:rsid w:val="003711B2"/>
    <w:rsid w:val="00373A57"/>
    <w:rsid w:val="00375491"/>
    <w:rsid w:val="00382B9D"/>
    <w:rsid w:val="00382BFD"/>
    <w:rsid w:val="00391E5E"/>
    <w:rsid w:val="003926EF"/>
    <w:rsid w:val="003928DD"/>
    <w:rsid w:val="003947EA"/>
    <w:rsid w:val="00395165"/>
    <w:rsid w:val="003A1C97"/>
    <w:rsid w:val="003A2D11"/>
    <w:rsid w:val="003A50F6"/>
    <w:rsid w:val="003A5469"/>
    <w:rsid w:val="003B3ED4"/>
    <w:rsid w:val="003C335E"/>
    <w:rsid w:val="003C4B58"/>
    <w:rsid w:val="003D210A"/>
    <w:rsid w:val="003D3E93"/>
    <w:rsid w:val="003D5FAA"/>
    <w:rsid w:val="003D60EE"/>
    <w:rsid w:val="003D64D6"/>
    <w:rsid w:val="003E4EE4"/>
    <w:rsid w:val="003E71CB"/>
    <w:rsid w:val="003E72D1"/>
    <w:rsid w:val="003E7EDA"/>
    <w:rsid w:val="00402A22"/>
    <w:rsid w:val="00402B20"/>
    <w:rsid w:val="00415193"/>
    <w:rsid w:val="0042107B"/>
    <w:rsid w:val="00421509"/>
    <w:rsid w:val="00422B58"/>
    <w:rsid w:val="004241ED"/>
    <w:rsid w:val="004320D1"/>
    <w:rsid w:val="004325A3"/>
    <w:rsid w:val="004340AC"/>
    <w:rsid w:val="004349F6"/>
    <w:rsid w:val="004424A2"/>
    <w:rsid w:val="00442740"/>
    <w:rsid w:val="004548FC"/>
    <w:rsid w:val="004579F3"/>
    <w:rsid w:val="00461941"/>
    <w:rsid w:val="00462FD7"/>
    <w:rsid w:val="00464F5B"/>
    <w:rsid w:val="0046764B"/>
    <w:rsid w:val="0047470A"/>
    <w:rsid w:val="004778D3"/>
    <w:rsid w:val="0048151F"/>
    <w:rsid w:val="0048472A"/>
    <w:rsid w:val="00490131"/>
    <w:rsid w:val="00495FAA"/>
    <w:rsid w:val="004A5081"/>
    <w:rsid w:val="004A513E"/>
    <w:rsid w:val="004A5B0F"/>
    <w:rsid w:val="004A72F6"/>
    <w:rsid w:val="004B74F9"/>
    <w:rsid w:val="004C1C97"/>
    <w:rsid w:val="004C5C60"/>
    <w:rsid w:val="004D0DBC"/>
    <w:rsid w:val="004D30C6"/>
    <w:rsid w:val="004D7254"/>
    <w:rsid w:val="004D764B"/>
    <w:rsid w:val="004E16B1"/>
    <w:rsid w:val="004F6E90"/>
    <w:rsid w:val="00503841"/>
    <w:rsid w:val="005046F1"/>
    <w:rsid w:val="005053D8"/>
    <w:rsid w:val="0054100B"/>
    <w:rsid w:val="0055504B"/>
    <w:rsid w:val="00562456"/>
    <w:rsid w:val="005626BE"/>
    <w:rsid w:val="00562B9E"/>
    <w:rsid w:val="00563235"/>
    <w:rsid w:val="00570A8E"/>
    <w:rsid w:val="0057622B"/>
    <w:rsid w:val="00580BA4"/>
    <w:rsid w:val="00583186"/>
    <w:rsid w:val="00586ACD"/>
    <w:rsid w:val="005969C1"/>
    <w:rsid w:val="005B7176"/>
    <w:rsid w:val="005B7FD9"/>
    <w:rsid w:val="005C35DB"/>
    <w:rsid w:val="005C5F91"/>
    <w:rsid w:val="005D584F"/>
    <w:rsid w:val="005D5C4F"/>
    <w:rsid w:val="005F0525"/>
    <w:rsid w:val="005F11BB"/>
    <w:rsid w:val="005F1936"/>
    <w:rsid w:val="005F35DF"/>
    <w:rsid w:val="006010B3"/>
    <w:rsid w:val="006034B7"/>
    <w:rsid w:val="006034C2"/>
    <w:rsid w:val="00617114"/>
    <w:rsid w:val="0062092C"/>
    <w:rsid w:val="006321F9"/>
    <w:rsid w:val="00654F04"/>
    <w:rsid w:val="00655A4F"/>
    <w:rsid w:val="006661C5"/>
    <w:rsid w:val="00674DF7"/>
    <w:rsid w:val="00677B59"/>
    <w:rsid w:val="006875A4"/>
    <w:rsid w:val="006A26AA"/>
    <w:rsid w:val="006A43CA"/>
    <w:rsid w:val="006A5DFF"/>
    <w:rsid w:val="006A65E8"/>
    <w:rsid w:val="006A667A"/>
    <w:rsid w:val="006B012A"/>
    <w:rsid w:val="006B045D"/>
    <w:rsid w:val="006B0D2C"/>
    <w:rsid w:val="006B13AC"/>
    <w:rsid w:val="006B167F"/>
    <w:rsid w:val="006C453F"/>
    <w:rsid w:val="006C7D4B"/>
    <w:rsid w:val="006D04E6"/>
    <w:rsid w:val="006D232A"/>
    <w:rsid w:val="006F6F16"/>
    <w:rsid w:val="00701668"/>
    <w:rsid w:val="00715CD0"/>
    <w:rsid w:val="007231B5"/>
    <w:rsid w:val="00734538"/>
    <w:rsid w:val="00743397"/>
    <w:rsid w:val="007504EC"/>
    <w:rsid w:val="00761884"/>
    <w:rsid w:val="00763F2F"/>
    <w:rsid w:val="007677C1"/>
    <w:rsid w:val="00770A8D"/>
    <w:rsid w:val="0077621D"/>
    <w:rsid w:val="007802DE"/>
    <w:rsid w:val="0078076F"/>
    <w:rsid w:val="00784ED3"/>
    <w:rsid w:val="00794D2B"/>
    <w:rsid w:val="007A1A6C"/>
    <w:rsid w:val="007A70D6"/>
    <w:rsid w:val="007B5BA5"/>
    <w:rsid w:val="007C1DB6"/>
    <w:rsid w:val="007C3253"/>
    <w:rsid w:val="007D077C"/>
    <w:rsid w:val="007D6B5C"/>
    <w:rsid w:val="007D7980"/>
    <w:rsid w:val="007D7B0E"/>
    <w:rsid w:val="007E1153"/>
    <w:rsid w:val="007E70E5"/>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5404D"/>
    <w:rsid w:val="00860C9E"/>
    <w:rsid w:val="0086462D"/>
    <w:rsid w:val="00890936"/>
    <w:rsid w:val="008A3D9C"/>
    <w:rsid w:val="008B065C"/>
    <w:rsid w:val="008C2A01"/>
    <w:rsid w:val="008C6EA4"/>
    <w:rsid w:val="008C6F26"/>
    <w:rsid w:val="008D38B5"/>
    <w:rsid w:val="008D54D4"/>
    <w:rsid w:val="008E1AB2"/>
    <w:rsid w:val="008E36AD"/>
    <w:rsid w:val="008E3D1C"/>
    <w:rsid w:val="008E7CFA"/>
    <w:rsid w:val="008F0373"/>
    <w:rsid w:val="008F3274"/>
    <w:rsid w:val="009029AD"/>
    <w:rsid w:val="00910355"/>
    <w:rsid w:val="009231DC"/>
    <w:rsid w:val="00927D75"/>
    <w:rsid w:val="00931A1F"/>
    <w:rsid w:val="00932C0D"/>
    <w:rsid w:val="009336D0"/>
    <w:rsid w:val="00936690"/>
    <w:rsid w:val="009404F3"/>
    <w:rsid w:val="0094255B"/>
    <w:rsid w:val="0094330B"/>
    <w:rsid w:val="00945A01"/>
    <w:rsid w:val="0096551C"/>
    <w:rsid w:val="00967DFB"/>
    <w:rsid w:val="009713A8"/>
    <w:rsid w:val="00972E68"/>
    <w:rsid w:val="009770D9"/>
    <w:rsid w:val="00980E51"/>
    <w:rsid w:val="0098129D"/>
    <w:rsid w:val="009902BE"/>
    <w:rsid w:val="00993DC0"/>
    <w:rsid w:val="009C22BE"/>
    <w:rsid w:val="009C3F80"/>
    <w:rsid w:val="009C4336"/>
    <w:rsid w:val="009C4B68"/>
    <w:rsid w:val="009C7C55"/>
    <w:rsid w:val="009D355C"/>
    <w:rsid w:val="009D4EEB"/>
    <w:rsid w:val="009E476D"/>
    <w:rsid w:val="009F02DC"/>
    <w:rsid w:val="009F05F0"/>
    <w:rsid w:val="00A00343"/>
    <w:rsid w:val="00A17504"/>
    <w:rsid w:val="00A3661E"/>
    <w:rsid w:val="00A3695F"/>
    <w:rsid w:val="00A3723A"/>
    <w:rsid w:val="00A6327A"/>
    <w:rsid w:val="00A64D14"/>
    <w:rsid w:val="00A73496"/>
    <w:rsid w:val="00A757BF"/>
    <w:rsid w:val="00A804AC"/>
    <w:rsid w:val="00A817A3"/>
    <w:rsid w:val="00A95332"/>
    <w:rsid w:val="00A976B1"/>
    <w:rsid w:val="00AA0603"/>
    <w:rsid w:val="00AB45E1"/>
    <w:rsid w:val="00AC678F"/>
    <w:rsid w:val="00AD453E"/>
    <w:rsid w:val="00AD4C2D"/>
    <w:rsid w:val="00AE4E78"/>
    <w:rsid w:val="00AE6B12"/>
    <w:rsid w:val="00AE750C"/>
    <w:rsid w:val="00B0427D"/>
    <w:rsid w:val="00B30237"/>
    <w:rsid w:val="00B35684"/>
    <w:rsid w:val="00B42D46"/>
    <w:rsid w:val="00B577AF"/>
    <w:rsid w:val="00B578CF"/>
    <w:rsid w:val="00B67D8C"/>
    <w:rsid w:val="00B67F7B"/>
    <w:rsid w:val="00B76A9E"/>
    <w:rsid w:val="00B77D4A"/>
    <w:rsid w:val="00B90FA2"/>
    <w:rsid w:val="00B93B93"/>
    <w:rsid w:val="00B9653F"/>
    <w:rsid w:val="00BA6316"/>
    <w:rsid w:val="00BB7BE1"/>
    <w:rsid w:val="00BD4730"/>
    <w:rsid w:val="00BD5345"/>
    <w:rsid w:val="00BD5A49"/>
    <w:rsid w:val="00BE6276"/>
    <w:rsid w:val="00BE7AF7"/>
    <w:rsid w:val="00BE7BC9"/>
    <w:rsid w:val="00BE7D72"/>
    <w:rsid w:val="00BF4C0B"/>
    <w:rsid w:val="00BF6061"/>
    <w:rsid w:val="00C0206C"/>
    <w:rsid w:val="00C04C24"/>
    <w:rsid w:val="00C118F9"/>
    <w:rsid w:val="00C1601E"/>
    <w:rsid w:val="00C163BC"/>
    <w:rsid w:val="00C173A7"/>
    <w:rsid w:val="00C23C64"/>
    <w:rsid w:val="00C33473"/>
    <w:rsid w:val="00C34AA7"/>
    <w:rsid w:val="00C37041"/>
    <w:rsid w:val="00C4655F"/>
    <w:rsid w:val="00C47830"/>
    <w:rsid w:val="00C51B8B"/>
    <w:rsid w:val="00C5427C"/>
    <w:rsid w:val="00C55CF5"/>
    <w:rsid w:val="00C562BB"/>
    <w:rsid w:val="00C6036D"/>
    <w:rsid w:val="00C63CC5"/>
    <w:rsid w:val="00C7319B"/>
    <w:rsid w:val="00C758DE"/>
    <w:rsid w:val="00C77DB0"/>
    <w:rsid w:val="00C84548"/>
    <w:rsid w:val="00C86D9A"/>
    <w:rsid w:val="00C871E2"/>
    <w:rsid w:val="00C966D5"/>
    <w:rsid w:val="00CA1B5B"/>
    <w:rsid w:val="00CA437F"/>
    <w:rsid w:val="00CC1B90"/>
    <w:rsid w:val="00CC53B1"/>
    <w:rsid w:val="00CC5C25"/>
    <w:rsid w:val="00CD3BFB"/>
    <w:rsid w:val="00CD7C62"/>
    <w:rsid w:val="00CE0EB3"/>
    <w:rsid w:val="00CF0C98"/>
    <w:rsid w:val="00CF2397"/>
    <w:rsid w:val="00CF28A0"/>
    <w:rsid w:val="00CF2B08"/>
    <w:rsid w:val="00CF77A0"/>
    <w:rsid w:val="00D06A9A"/>
    <w:rsid w:val="00D13182"/>
    <w:rsid w:val="00D25E8D"/>
    <w:rsid w:val="00D32737"/>
    <w:rsid w:val="00D33CA5"/>
    <w:rsid w:val="00D3434B"/>
    <w:rsid w:val="00D40B6B"/>
    <w:rsid w:val="00D44AD0"/>
    <w:rsid w:val="00D46C9E"/>
    <w:rsid w:val="00D51A21"/>
    <w:rsid w:val="00D51C64"/>
    <w:rsid w:val="00D53031"/>
    <w:rsid w:val="00D53F51"/>
    <w:rsid w:val="00D62C11"/>
    <w:rsid w:val="00D63B9E"/>
    <w:rsid w:val="00D73020"/>
    <w:rsid w:val="00D73D19"/>
    <w:rsid w:val="00D74004"/>
    <w:rsid w:val="00D7572B"/>
    <w:rsid w:val="00D85441"/>
    <w:rsid w:val="00D94EB0"/>
    <w:rsid w:val="00D964F5"/>
    <w:rsid w:val="00DA19F5"/>
    <w:rsid w:val="00DA1AE3"/>
    <w:rsid w:val="00DA44B7"/>
    <w:rsid w:val="00DA6C20"/>
    <w:rsid w:val="00DB0587"/>
    <w:rsid w:val="00DB115E"/>
    <w:rsid w:val="00DB1B8F"/>
    <w:rsid w:val="00DC24CF"/>
    <w:rsid w:val="00DC6E3B"/>
    <w:rsid w:val="00DC7D25"/>
    <w:rsid w:val="00DD1F0E"/>
    <w:rsid w:val="00DD3BA3"/>
    <w:rsid w:val="00DD5A69"/>
    <w:rsid w:val="00DD7D7E"/>
    <w:rsid w:val="00DF266B"/>
    <w:rsid w:val="00DF42EF"/>
    <w:rsid w:val="00DF6D11"/>
    <w:rsid w:val="00E00C17"/>
    <w:rsid w:val="00E0697B"/>
    <w:rsid w:val="00E072AA"/>
    <w:rsid w:val="00E1078D"/>
    <w:rsid w:val="00E176A1"/>
    <w:rsid w:val="00E17A06"/>
    <w:rsid w:val="00E21E90"/>
    <w:rsid w:val="00E224FA"/>
    <w:rsid w:val="00E23E12"/>
    <w:rsid w:val="00E31779"/>
    <w:rsid w:val="00E325B8"/>
    <w:rsid w:val="00E343F4"/>
    <w:rsid w:val="00E377AE"/>
    <w:rsid w:val="00E42C2A"/>
    <w:rsid w:val="00E47E60"/>
    <w:rsid w:val="00E47F24"/>
    <w:rsid w:val="00E526FB"/>
    <w:rsid w:val="00E52C51"/>
    <w:rsid w:val="00E52F44"/>
    <w:rsid w:val="00E535D1"/>
    <w:rsid w:val="00E541AB"/>
    <w:rsid w:val="00E55E18"/>
    <w:rsid w:val="00E60C54"/>
    <w:rsid w:val="00E7048C"/>
    <w:rsid w:val="00E71C6D"/>
    <w:rsid w:val="00E80213"/>
    <w:rsid w:val="00E81522"/>
    <w:rsid w:val="00E842AB"/>
    <w:rsid w:val="00E84F89"/>
    <w:rsid w:val="00E9000A"/>
    <w:rsid w:val="00E90F86"/>
    <w:rsid w:val="00E96512"/>
    <w:rsid w:val="00EA440F"/>
    <w:rsid w:val="00EB2500"/>
    <w:rsid w:val="00EB6834"/>
    <w:rsid w:val="00EC4E78"/>
    <w:rsid w:val="00EE04FE"/>
    <w:rsid w:val="00EE1AE3"/>
    <w:rsid w:val="00EE4B49"/>
    <w:rsid w:val="00EF287C"/>
    <w:rsid w:val="00EF43D5"/>
    <w:rsid w:val="00F00C97"/>
    <w:rsid w:val="00F00D11"/>
    <w:rsid w:val="00F06AD1"/>
    <w:rsid w:val="00F16303"/>
    <w:rsid w:val="00F21E49"/>
    <w:rsid w:val="00F22E6F"/>
    <w:rsid w:val="00F22EEE"/>
    <w:rsid w:val="00F37575"/>
    <w:rsid w:val="00F37809"/>
    <w:rsid w:val="00F711CA"/>
    <w:rsid w:val="00F7231C"/>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09FF"/>
    <w:rsid w:val="00FD4B07"/>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A967-E6AC-4029-BAA6-F5E06D1A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352801545">
      <w:bodyDiv w:val="1"/>
      <w:marLeft w:val="0"/>
      <w:marRight w:val="0"/>
      <w:marTop w:val="0"/>
      <w:marBottom w:val="0"/>
      <w:divBdr>
        <w:top w:val="none" w:sz="0" w:space="0" w:color="auto"/>
        <w:left w:val="none" w:sz="0" w:space="0" w:color="auto"/>
        <w:bottom w:val="none" w:sz="0" w:space="0" w:color="auto"/>
        <w:right w:val="none" w:sz="0" w:space="0" w:color="auto"/>
      </w:divBdr>
    </w:div>
    <w:div w:id="701902592">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10117454">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166048726">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0870365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495105252">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5485955">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14633269">
      <w:bodyDiv w:val="1"/>
      <w:marLeft w:val="0"/>
      <w:marRight w:val="0"/>
      <w:marTop w:val="0"/>
      <w:marBottom w:val="0"/>
      <w:divBdr>
        <w:top w:val="none" w:sz="0" w:space="0" w:color="auto"/>
        <w:left w:val="none" w:sz="0" w:space="0" w:color="auto"/>
        <w:bottom w:val="none" w:sz="0" w:space="0" w:color="auto"/>
        <w:right w:val="none" w:sz="0" w:space="0" w:color="auto"/>
      </w:divBdr>
    </w:div>
    <w:div w:id="1659915717">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682967480">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 w:id="21125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kulture.gov.hr/vijesti-8/do-7-veljace-privremeno-obustavljen-poziv-na-dodjelu-bespovratnih-financijskih-sredstava/2181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5A59-232E-48F6-9A1D-CCF93800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1616</Words>
  <Characters>9216</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37</cp:revision>
  <cp:lastPrinted>2021-03-18T07:05:00Z</cp:lastPrinted>
  <dcterms:created xsi:type="dcterms:W3CDTF">2022-01-20T08:31:00Z</dcterms:created>
  <dcterms:modified xsi:type="dcterms:W3CDTF">2022-02-09T15:28:00Z</dcterms:modified>
</cp:coreProperties>
</file>