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5B935" w14:textId="1D061CA7" w:rsidR="00A87FE7" w:rsidRPr="00FA3151" w:rsidRDefault="00A87FE7" w:rsidP="00A87FE7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Treća</w:t>
      </w:r>
      <w:r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 xml:space="preserve"> 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3</w:t>
      </w:r>
      <w:r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.) izmjena Poziva</w:t>
      </w:r>
    </w:p>
    <w:p w14:paraId="248EF72E" w14:textId="77777777" w:rsidR="00A87FE7" w:rsidRDefault="00A87FE7" w:rsidP="00A87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6013023"/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4D977497" w:rsidR="000E4F43" w:rsidRPr="00A63CD9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4F43" w:rsidRPr="00A63CD9">
        <w:rPr>
          <w:rFonts w:ascii="Times New Roman" w:hAnsi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3CD9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E60D82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FSEU.MPGI.03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36B311" w14:textId="77777777" w:rsidR="008B1CCF" w:rsidRDefault="008B1CCF" w:rsidP="00E0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E07A41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112CA733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EU </w:t>
      </w:r>
      <w:r w:rsidR="00E07A41" w:rsidRPr="00A30A72">
        <w:rPr>
          <w:rFonts w:ascii="Times New Roman" w:hAnsi="Times New Roman"/>
          <w:b/>
          <w:sz w:val="24"/>
          <w:szCs w:val="24"/>
        </w:rPr>
        <w:t>projekte</w:t>
      </w:r>
      <w:r w:rsidR="00E07A41">
        <w:rPr>
          <w:rFonts w:ascii="Times New Roman" w:hAnsi="Times New Roman"/>
          <w:b/>
          <w:sz w:val="24"/>
          <w:szCs w:val="24"/>
        </w:rPr>
        <w:t xml:space="preserve"> </w:t>
      </w:r>
      <w:r w:rsidRPr="00B730FE">
        <w:rPr>
          <w:rFonts w:ascii="Times New Roman" w:hAnsi="Times New Roman"/>
          <w:b/>
          <w:sz w:val="24"/>
          <w:szCs w:val="24"/>
        </w:rPr>
        <w:t xml:space="preserve">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6489E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E07A41" w:rsidRPr="00A30A72">
        <w:rPr>
          <w:rFonts w:ascii="Times New Roman" w:hAnsi="Times New Roman"/>
          <w:sz w:val="24"/>
          <w:szCs w:val="24"/>
        </w:rPr>
        <w:t>financijskih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6AD7A98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</w:t>
      </w:r>
      <w:bookmarkStart w:id="2" w:name="_Hlk106008549"/>
      <w:r w:rsidRPr="003B3013">
        <w:rPr>
          <w:rFonts w:ascii="Times New Roman" w:hAnsi="Times New Roman"/>
          <w:sz w:val="24"/>
          <w:szCs w:val="24"/>
          <w:highlight w:val="yellow"/>
        </w:rPr>
        <w:t xml:space="preserve">od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28.prosinca 202</w:t>
      </w:r>
      <w:r w:rsidR="0027037F" w:rsidRPr="003B3013">
        <w:rPr>
          <w:rFonts w:ascii="Times New Roman" w:hAnsi="Times New Roman"/>
          <w:sz w:val="24"/>
          <w:szCs w:val="24"/>
          <w:highlight w:val="yellow"/>
        </w:rPr>
        <w:t>0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 xml:space="preserve">. godine do 01. </w:t>
      </w:r>
      <w:r w:rsidR="00656430">
        <w:rPr>
          <w:rFonts w:ascii="Times New Roman" w:hAnsi="Times New Roman"/>
          <w:sz w:val="24"/>
          <w:szCs w:val="24"/>
          <w:highlight w:val="yellow"/>
        </w:rPr>
        <w:t>lipnja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 xml:space="preserve"> 2023. godine</w:t>
      </w:r>
      <w:r w:rsidR="00B014EC" w:rsidRPr="003B3013">
        <w:rPr>
          <w:rFonts w:ascii="Times New Roman" w:hAnsi="Times New Roman"/>
          <w:sz w:val="24"/>
          <w:szCs w:val="24"/>
        </w:rPr>
        <w:t xml:space="preserve">,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s mogućnošću produljenja</w:t>
      </w:r>
      <w:r w:rsidR="00656430">
        <w:rPr>
          <w:rFonts w:ascii="Times New Roman" w:hAnsi="Times New Roman"/>
          <w:sz w:val="24"/>
          <w:szCs w:val="24"/>
          <w:highlight w:val="yellow"/>
        </w:rPr>
        <w:t xml:space="preserve"> do 30. lipnja 2023.</w:t>
      </w:r>
      <w:r w:rsidR="00457763">
        <w:rPr>
          <w:rFonts w:ascii="Times New Roman" w:hAnsi="Times New Roman"/>
          <w:sz w:val="24"/>
          <w:szCs w:val="24"/>
          <w:highlight w:val="yellow"/>
        </w:rPr>
        <w:t xml:space="preserve"> godine</w:t>
      </w:r>
      <w:r w:rsidR="0065643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u opravdanim slučajevima ako tako nadležan TOPFD odluči</w:t>
      </w:r>
      <w:r w:rsidR="00B014EC" w:rsidRPr="003B3013">
        <w:rPr>
          <w:rFonts w:ascii="Times New Roman" w:hAnsi="Times New Roman"/>
          <w:sz w:val="24"/>
          <w:szCs w:val="24"/>
        </w:rPr>
        <w:t>.</w:t>
      </w:r>
      <w:r w:rsidRPr="003B3013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FAF9954" w:rsidR="00A64959" w:rsidRPr="00B014EC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3B3013">
        <w:rPr>
          <w:rFonts w:ascii="Times New Roman" w:hAnsi="Times New Roman"/>
          <w:sz w:val="24"/>
          <w:szCs w:val="24"/>
          <w:highlight w:val="yellow"/>
        </w:rPr>
        <w:t xml:space="preserve">je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od 28.</w:t>
      </w:r>
      <w:r w:rsidR="0027037F" w:rsidRPr="003B301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prosinca 202</w:t>
      </w:r>
      <w:r w:rsidR="0027037F" w:rsidRPr="003B3013">
        <w:rPr>
          <w:rFonts w:ascii="Times New Roman" w:hAnsi="Times New Roman"/>
          <w:sz w:val="24"/>
          <w:szCs w:val="24"/>
          <w:highlight w:val="yellow"/>
        </w:rPr>
        <w:t>0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 xml:space="preserve">. godine do 01. </w:t>
      </w:r>
      <w:r w:rsidR="00457763">
        <w:rPr>
          <w:rFonts w:ascii="Times New Roman" w:hAnsi="Times New Roman"/>
          <w:sz w:val="24"/>
          <w:szCs w:val="24"/>
          <w:highlight w:val="yellow"/>
        </w:rPr>
        <w:t>lipnja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 xml:space="preserve"> 2023. godine, s mogućnošću produljenja </w:t>
      </w:r>
      <w:r w:rsidR="00457763">
        <w:rPr>
          <w:rFonts w:ascii="Times New Roman" w:hAnsi="Times New Roman"/>
          <w:sz w:val="24"/>
          <w:szCs w:val="24"/>
          <w:highlight w:val="yellow"/>
        </w:rPr>
        <w:t xml:space="preserve">do 30. lipnja 2023. godine </w:t>
      </w:r>
      <w:r w:rsidR="00B014EC" w:rsidRPr="003B3013">
        <w:rPr>
          <w:rFonts w:ascii="Times New Roman" w:hAnsi="Times New Roman"/>
          <w:sz w:val="24"/>
          <w:szCs w:val="24"/>
          <w:highlight w:val="yellow"/>
        </w:rPr>
        <w:t>u opravdanim slučajevima ako tako nadležan TOPFD odluči.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08F671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</w:t>
      </w:r>
      <w:r w:rsidR="003B3013" w:rsidRPr="003B3013">
        <w:rPr>
          <w:rFonts w:ascii="Times New Roman" w:hAnsi="Times New Roman"/>
          <w:sz w:val="24"/>
          <w:szCs w:val="24"/>
        </w:rPr>
        <w:t xml:space="preserve"> </w:t>
      </w:r>
      <w:r w:rsidR="00505676" w:rsidRPr="003B3013">
        <w:rPr>
          <w:rFonts w:ascii="Times New Roman" w:hAnsi="Times New Roman"/>
          <w:strike/>
          <w:sz w:val="24"/>
          <w:szCs w:val="24"/>
        </w:rPr>
        <w:t xml:space="preserve"> ali ne kasnije od </w:t>
      </w:r>
      <w:r w:rsidR="00E07A41" w:rsidRPr="003B3013">
        <w:rPr>
          <w:rFonts w:ascii="Times New Roman" w:hAnsi="Times New Roman"/>
          <w:strike/>
          <w:sz w:val="24"/>
          <w:szCs w:val="24"/>
        </w:rPr>
        <w:t>30. lipnja</w:t>
      </w:r>
      <w:r w:rsidR="00505676" w:rsidRPr="003B3013">
        <w:rPr>
          <w:rFonts w:ascii="Times New Roman" w:hAnsi="Times New Roman"/>
          <w:strike/>
          <w:sz w:val="24"/>
          <w:szCs w:val="24"/>
        </w:rPr>
        <w:t xml:space="preserve"> 2023. godine.</w:t>
      </w:r>
      <w:r w:rsidR="00505676" w:rsidRPr="00505676">
        <w:rPr>
          <w:rFonts w:ascii="Times New Roman" w:hAnsi="Times New Roman"/>
          <w:sz w:val="24"/>
          <w:szCs w:val="24"/>
        </w:rPr>
        <w:t xml:space="preserve">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0FBF362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 </w:t>
      </w:r>
      <w:r w:rsidR="00422FA8" w:rsidRPr="00E70EF4">
        <w:rPr>
          <w:rFonts w:ascii="Times New Roman" w:hAnsi="Times New Roman"/>
          <w:sz w:val="24"/>
          <w:szCs w:val="24"/>
        </w:rPr>
        <w:t xml:space="preserve"> tromjesečno, i to po isteku 15 kalendarskih dana od proteka tromjesečnog razdoblja s tim da Korisnik tijekom razdoblja provedbe može po potrebi </w:t>
      </w:r>
      <w:r w:rsidR="00375D7C" w:rsidRPr="00E70EF4">
        <w:rPr>
          <w:rFonts w:ascii="Times New Roman" w:hAnsi="Times New Roman"/>
          <w:sz w:val="24"/>
          <w:szCs w:val="24"/>
        </w:rPr>
        <w:t>podnositi Zahtjeve za nadoknadu sredstava i češće od obavezne dinamike.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31856AC0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E07A41" w:rsidRPr="00EE542B">
        <w:rPr>
          <w:rFonts w:ascii="Times New Roman" w:hAnsi="Times New Roman"/>
          <w:i/>
          <w:sz w:val="24"/>
          <w:szCs w:val="24"/>
        </w:rPr>
        <w:t>financijskih</w:t>
      </w:r>
      <w:r w:rsidR="00E07A41">
        <w:rPr>
          <w:rFonts w:ascii="Times New Roman" w:hAnsi="Times New Roman"/>
          <w:i/>
          <w:sz w:val="24"/>
          <w:szCs w:val="24"/>
        </w:rPr>
        <w:t xml:space="preserve"> </w:t>
      </w:r>
      <w:r w:rsidRPr="00E4744C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1333" w14:textId="75C6E5DB" w:rsidR="0013671B" w:rsidRDefault="001D4D97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B44F24" w:rsidRPr="00C1040E">
        <w:rPr>
          <w:rFonts w:ascii="Times New Roman" w:hAnsi="Times New Roman"/>
          <w:sz w:val="24"/>
          <w:szCs w:val="24"/>
        </w:rPr>
        <w:t xml:space="preserve">Korisnik troškove u Zahtjevu za nadoknadu sredstava može potraživati u skladu s </w:t>
      </w:r>
    </w:p>
    <w:p w14:paraId="5F0317C8" w14:textId="77777777" w:rsidR="0013671B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F24" w:rsidRPr="00C1040E">
        <w:rPr>
          <w:rFonts w:ascii="Times New Roman" w:hAnsi="Times New Roman"/>
          <w:sz w:val="24"/>
          <w:szCs w:val="24"/>
        </w:rPr>
        <w:t>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73929" w14:textId="5F9CBEBC" w:rsidR="00A64959" w:rsidRDefault="0013671B" w:rsidP="00136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2DBA8CA4" w14:textId="77777777" w:rsidR="00DF6F2B" w:rsidRPr="00020E6F" w:rsidRDefault="00DF6F2B" w:rsidP="00F1381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7157F8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17E0EE0" w:rsidR="001D4D97" w:rsidRDefault="00F61846" w:rsidP="007643D1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0566456F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3F825DA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kamate na dug; </w:t>
      </w:r>
    </w:p>
    <w:p w14:paraId="074FE7ED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rabljene opreme; </w:t>
      </w:r>
    </w:p>
    <w:p w14:paraId="1F81262C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vozila koja se koriste u svrhu upravljanja operacijom; </w:t>
      </w:r>
    </w:p>
    <w:p w14:paraId="38A22CD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nadoknada troškova prijevoza osoba, </w:t>
      </w:r>
    </w:p>
    <w:p w14:paraId="40A0140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materijalna prava radnika u smislu nadoknade troškova, potpora, nagrada te otpremnine; </w:t>
      </w:r>
    </w:p>
    <w:p w14:paraId="582DCA3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FA3CF3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FA3CF3">
        <w:rPr>
          <w:rFonts w:ascii="Times New Roman" w:hAnsi="Times New Roman"/>
          <w:bCs/>
          <w:sz w:val="24"/>
          <w:szCs w:val="24"/>
        </w:rPr>
        <w:t xml:space="preserve">, stečajem i likvidacijom; </w:t>
      </w:r>
    </w:p>
    <w:p w14:paraId="6FB30F6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sudskih i izvan sudskih sporova; </w:t>
      </w:r>
    </w:p>
    <w:p w14:paraId="4363769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gubici zbog fluktuacija valutnih tečaja i provizija na valutni tečaj; </w:t>
      </w:r>
    </w:p>
    <w:p w14:paraId="59C9E02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lastRenderedPageBreak/>
        <w:t xml:space="preserve">troškovi za otvaranje, zatvaranje i vođenje računa, naknade za financijske transfere, trošak ishođenja kredita ili pozajmice kod financijske institucije, javnobilježnički trošak; </w:t>
      </w:r>
    </w:p>
    <w:p w14:paraId="30A98C8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38074F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221375A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kupoprodaja zemljišta; </w:t>
      </w:r>
    </w:p>
    <w:p w14:paraId="5F96612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leasinga; </w:t>
      </w:r>
    </w:p>
    <w:p w14:paraId="271A50A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neizravni troškovi; </w:t>
      </w:r>
    </w:p>
    <w:p w14:paraId="379468E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trošak jamstva koje izdaje banka ili druga financijska institucija; </w:t>
      </w:r>
    </w:p>
    <w:p w14:paraId="3C7AAED8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49926F22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nastali prije 28. prosinca 2020. godine te </w:t>
      </w:r>
    </w:p>
    <w:p w14:paraId="11BE3CF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ostali troškovi nespomenuti kao prihvatljivi.</w:t>
      </w:r>
    </w:p>
    <w:p w14:paraId="3099D5BF" w14:textId="60080B54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3B0050CE" w:rsidR="00A64959" w:rsidRPr="008B1CCF" w:rsidRDefault="006E5E09" w:rsidP="008B1CCF">
      <w:pPr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4ADDB54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5A7F953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29178B0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43B5AC22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356D7EC5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.5. &lt;ako je primjenjivo&gt; Dodatni uvjeti u pogledu prijenosa imovinskih prava.</w:t>
      </w:r>
    </w:p>
    <w:p w14:paraId="01016A59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0E81D97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CE7194" w:rsidRPr="00CE7194">
        <w:rPr>
          <w:rFonts w:ascii="Times New Roman" w:hAnsi="Times New Roman"/>
          <w:sz w:val="24"/>
          <w:szCs w:val="24"/>
        </w:rPr>
        <w:t>.6. 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92DF5A8" w:rsidR="00F32EDD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.7. 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E07A4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390F4BA" w:rsidR="005943A1" w:rsidRDefault="006E5E0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5BB34" w14:textId="77777777" w:rsidR="00E07A41" w:rsidRPr="00EE542B" w:rsidRDefault="006E5E09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</w:t>
      </w:r>
      <w:r w:rsidR="00D92871" w:rsidRPr="00EE542B">
        <w:rPr>
          <w:rFonts w:ascii="Times New Roman" w:hAnsi="Times New Roman"/>
          <w:sz w:val="24"/>
          <w:szCs w:val="24"/>
        </w:rPr>
        <w:t xml:space="preserve">.2. </w:t>
      </w:r>
      <w:r w:rsidR="00E07A41" w:rsidRPr="00EE542B">
        <w:rPr>
          <w:rFonts w:ascii="Times New Roman" w:hAnsi="Times New Roman"/>
          <w:sz w:val="24"/>
          <w:szCs w:val="24"/>
        </w:rPr>
        <w:t xml:space="preserve">Korisniku kojem su doznačena sredstva iz državnog proračuna ili proračuna JLPRS za podmirenje troškova privremenog smještaja nastalih kao posljedica potresa obvezuje se   </w:t>
      </w:r>
    </w:p>
    <w:p w14:paraId="608B9753" w14:textId="77777777" w:rsidR="00E07A41" w:rsidRPr="00EE542B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sredstva vratiti u državni proračun ili proračun jedinice lokalne i područne (regionalne) samouprave JLPRS u roku od 15 dana i o tome dostaviti dokaz TOPFD-u.</w:t>
      </w:r>
    </w:p>
    <w:p w14:paraId="60365BA4" w14:textId="66393865" w:rsidR="00D92871" w:rsidRPr="00EE542B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6D0E" w14:textId="77777777" w:rsidR="00E07A41" w:rsidRPr="006E5E09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8.3.&lt;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509B5FF3" w:rsidR="00D92871" w:rsidRPr="006E5E09" w:rsidRDefault="00E07A4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>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0D5F7804" w:rsidR="00D92871" w:rsidRDefault="00E07A4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 xml:space="preserve"> &lt;ostali uvjeti i zahtjevi na temelju Općih uvjeta – potrebno provjeriti Opće uvjete&gt;.</w:t>
      </w:r>
    </w:p>
    <w:p w14:paraId="228BDF03" w14:textId="77777777" w:rsidR="00143CEA" w:rsidRPr="00D92871" w:rsidRDefault="00143CEA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6AF73A59" w:rsidR="00A64959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65461" w14:textId="77777777" w:rsidR="00143CEA" w:rsidRPr="00020E6F" w:rsidRDefault="00143CEA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5EF9FB4D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05799D1" w14:textId="77777777" w:rsidR="00E07A41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42B">
        <w:rPr>
          <w:rFonts w:ascii="Times New Roman" w:hAnsi="Times New Roman"/>
          <w:sz w:val="24"/>
          <w:szCs w:val="24"/>
        </w:rPr>
        <w:t>Prilog VII: &lt;</w:t>
      </w:r>
      <w:r w:rsidRPr="00EE542B">
        <w:rPr>
          <w:rFonts w:ascii="Times New Roman" w:hAnsi="Times New Roman"/>
          <w:i/>
          <w:sz w:val="24"/>
          <w:szCs w:val="24"/>
        </w:rPr>
        <w:t>Neobavezno</w:t>
      </w:r>
      <w:r w:rsidRPr="00EE542B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EE542B">
        <w:rPr>
          <w:rFonts w:ascii="Times New Roman" w:hAnsi="Times New Roman"/>
          <w:sz w:val="24"/>
          <w:szCs w:val="24"/>
        </w:rPr>
        <w:t>&gt; &lt;</w:t>
      </w:r>
      <w:r w:rsidRPr="00EE542B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EE542B">
        <w:rPr>
          <w:rFonts w:ascii="Times New Roman" w:hAnsi="Times New Roman"/>
          <w:sz w:val="24"/>
          <w:szCs w:val="24"/>
        </w:rPr>
        <w:t>&gt;</w:t>
      </w:r>
    </w:p>
    <w:p w14:paraId="372AAA7D" w14:textId="77777777" w:rsidR="00E07A41" w:rsidRDefault="00E07A41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77A1A2A6" w14:textId="215FE462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6C94097" w14:textId="21BFDB84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85517C4" w14:textId="537D989D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45493C8" w14:textId="0BB623D8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589D42F" w14:textId="739DEA2F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C2E087C" w14:textId="5D0836D1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F2BCB7E" w14:textId="6E2A52E6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BB2F3F" w14:textId="70108117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4353D33" w14:textId="4979B275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CBFFFAE" w14:textId="4CC0937F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2E74E73" w14:textId="77777777" w:rsidR="00143CEA" w:rsidRDefault="00143CEA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EB9470D" w:rsidR="00A64959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34E79D2F" w14:textId="3485D749" w:rsidR="00143CEA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0E2BD" w14:textId="77777777" w:rsidR="00143CEA" w:rsidRPr="00020E6F" w:rsidRDefault="00143CE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DC1A" w14:textId="77777777" w:rsidR="005D0D3F" w:rsidRDefault="005D0D3F" w:rsidP="00CE785D">
      <w:pPr>
        <w:spacing w:after="0" w:line="240" w:lineRule="auto"/>
      </w:pPr>
      <w:r>
        <w:separator/>
      </w:r>
    </w:p>
  </w:endnote>
  <w:endnote w:type="continuationSeparator" w:id="0">
    <w:p w14:paraId="3B668B18" w14:textId="77777777" w:rsidR="005D0D3F" w:rsidRDefault="005D0D3F" w:rsidP="00CE785D">
      <w:pPr>
        <w:spacing w:after="0" w:line="240" w:lineRule="auto"/>
      </w:pPr>
      <w:r>
        <w:continuationSeparator/>
      </w:r>
    </w:p>
  </w:endnote>
  <w:endnote w:type="continuationNotice" w:id="1">
    <w:p w14:paraId="6CF91A54" w14:textId="77777777" w:rsidR="005D0D3F" w:rsidRDefault="005D0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0128" w14:textId="77777777" w:rsidR="005D0D3F" w:rsidRDefault="005D0D3F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41C9B3B6" w14:textId="77777777" w:rsidR="005D0D3F" w:rsidRDefault="005D0D3F" w:rsidP="00CE785D">
      <w:pPr>
        <w:spacing w:after="0" w:line="240" w:lineRule="auto"/>
      </w:pPr>
      <w:r>
        <w:continuationSeparator/>
      </w:r>
    </w:p>
  </w:footnote>
  <w:footnote w:type="continuationNotice" w:id="1">
    <w:p w14:paraId="0970875D" w14:textId="77777777" w:rsidR="005D0D3F" w:rsidRDefault="005D0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2BB" w14:textId="77777777" w:rsidR="003127A1" w:rsidRDefault="003127A1" w:rsidP="003127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/>
        <w:b/>
        <w:bCs/>
        <w:sz w:val="24"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58240" behindDoc="0" locked="0" layoutInCell="1" allowOverlap="1" wp14:anchorId="61FBAD13" wp14:editId="0F2B942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DEBB37" wp14:editId="1CC0DEC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81874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7CEC60C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EBB37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0BF81874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7CEC60C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307D06" wp14:editId="1539102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DCF8" w14:textId="77777777" w:rsidR="003127A1" w:rsidRPr="00FC7D26" w:rsidRDefault="003127A1" w:rsidP="003127A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61F90B34" w14:textId="77777777" w:rsidR="003127A1" w:rsidRPr="005F36E1" w:rsidRDefault="003127A1" w:rsidP="003127A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07D06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21BDCF8" w14:textId="77777777" w:rsidR="003127A1" w:rsidRPr="00FC7D26" w:rsidRDefault="003127A1" w:rsidP="003127A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61F90B34" w14:textId="77777777" w:rsidR="003127A1" w:rsidRPr="005F36E1" w:rsidRDefault="003127A1" w:rsidP="003127A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sz w:val="24"/>
        <w:lang w:eastAsia="hr-HR"/>
      </w:rPr>
      <w:drawing>
        <wp:inline distT="0" distB="0" distL="0" distR="0" wp14:anchorId="492D216D" wp14:editId="63681F19">
          <wp:extent cx="542925" cy="704850"/>
          <wp:effectExtent l="0" t="0" r="9525" b="0"/>
          <wp:docPr id="2" name="Slika 2" descr="Slika na kojoj se prikazuje tekst, soba, kockarnica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, soba, kockarnica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9031">
    <w:abstractNumId w:val="2"/>
  </w:num>
  <w:num w:numId="2" w16cid:durableId="1619682407">
    <w:abstractNumId w:val="6"/>
  </w:num>
  <w:num w:numId="3" w16cid:durableId="35399268">
    <w:abstractNumId w:val="0"/>
  </w:num>
  <w:num w:numId="4" w16cid:durableId="1245337403">
    <w:abstractNumId w:val="5"/>
  </w:num>
  <w:num w:numId="5" w16cid:durableId="2556058">
    <w:abstractNumId w:val="7"/>
  </w:num>
  <w:num w:numId="6" w16cid:durableId="4313595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20675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864018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746218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38919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38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584061">
    <w:abstractNumId w:val="9"/>
  </w:num>
  <w:num w:numId="13" w16cid:durableId="1603296465">
    <w:abstractNumId w:val="8"/>
  </w:num>
  <w:num w:numId="14" w16cid:durableId="750736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1E3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2A86"/>
    <w:rsid w:val="000C657A"/>
    <w:rsid w:val="000C693C"/>
    <w:rsid w:val="000D12F4"/>
    <w:rsid w:val="000E1A1C"/>
    <w:rsid w:val="000E2182"/>
    <w:rsid w:val="000E24C3"/>
    <w:rsid w:val="000E2867"/>
    <w:rsid w:val="000E4F43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671B"/>
    <w:rsid w:val="001368E9"/>
    <w:rsid w:val="00137074"/>
    <w:rsid w:val="00143CEA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1B82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67319"/>
    <w:rsid w:val="0027037F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3013"/>
    <w:rsid w:val="003B441A"/>
    <w:rsid w:val="003B5815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27DE3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3EF3"/>
    <w:rsid w:val="00457339"/>
    <w:rsid w:val="00457763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5A86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7F81"/>
    <w:rsid w:val="00530716"/>
    <w:rsid w:val="00533089"/>
    <w:rsid w:val="005340FE"/>
    <w:rsid w:val="00536BD4"/>
    <w:rsid w:val="005377C0"/>
    <w:rsid w:val="005420EC"/>
    <w:rsid w:val="00547DFF"/>
    <w:rsid w:val="005536F7"/>
    <w:rsid w:val="00553BB3"/>
    <w:rsid w:val="0055486D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0D3F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430"/>
    <w:rsid w:val="00656B89"/>
    <w:rsid w:val="00657D26"/>
    <w:rsid w:val="00672430"/>
    <w:rsid w:val="00684186"/>
    <w:rsid w:val="006848AD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A5EEF"/>
    <w:rsid w:val="006B00A8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578F4"/>
    <w:rsid w:val="007643D1"/>
    <w:rsid w:val="00765B0C"/>
    <w:rsid w:val="007668D1"/>
    <w:rsid w:val="0077004B"/>
    <w:rsid w:val="00770795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5EB"/>
    <w:rsid w:val="00835B33"/>
    <w:rsid w:val="00836C1E"/>
    <w:rsid w:val="00837108"/>
    <w:rsid w:val="00837FB9"/>
    <w:rsid w:val="008420CF"/>
    <w:rsid w:val="00844517"/>
    <w:rsid w:val="00846BEA"/>
    <w:rsid w:val="008472C2"/>
    <w:rsid w:val="008502A7"/>
    <w:rsid w:val="0085585C"/>
    <w:rsid w:val="008651BA"/>
    <w:rsid w:val="0086616F"/>
    <w:rsid w:val="008673C2"/>
    <w:rsid w:val="00870F0C"/>
    <w:rsid w:val="00872D3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CCF"/>
    <w:rsid w:val="008B3FDA"/>
    <w:rsid w:val="008B6AC3"/>
    <w:rsid w:val="008B70BC"/>
    <w:rsid w:val="008D01A3"/>
    <w:rsid w:val="008D5DF4"/>
    <w:rsid w:val="008E0429"/>
    <w:rsid w:val="008E3601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7355B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E60DC"/>
    <w:rsid w:val="009F31A3"/>
    <w:rsid w:val="009F345B"/>
    <w:rsid w:val="009F34C8"/>
    <w:rsid w:val="00A02470"/>
    <w:rsid w:val="00A22E7F"/>
    <w:rsid w:val="00A23860"/>
    <w:rsid w:val="00A273D6"/>
    <w:rsid w:val="00A27FA8"/>
    <w:rsid w:val="00A30A72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3CD9"/>
    <w:rsid w:val="00A64959"/>
    <w:rsid w:val="00A65272"/>
    <w:rsid w:val="00A6534C"/>
    <w:rsid w:val="00A67DB1"/>
    <w:rsid w:val="00A7270B"/>
    <w:rsid w:val="00A7723B"/>
    <w:rsid w:val="00A77A15"/>
    <w:rsid w:val="00A832B2"/>
    <w:rsid w:val="00A87FE7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14EC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75DEC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79A"/>
    <w:rsid w:val="00BB31A7"/>
    <w:rsid w:val="00BB320F"/>
    <w:rsid w:val="00BC0AD5"/>
    <w:rsid w:val="00BD15AE"/>
    <w:rsid w:val="00BD21CC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7E2C"/>
    <w:rsid w:val="00DF037F"/>
    <w:rsid w:val="00DF4B7A"/>
    <w:rsid w:val="00DF6F2B"/>
    <w:rsid w:val="00E00583"/>
    <w:rsid w:val="00E06A27"/>
    <w:rsid w:val="00E07A41"/>
    <w:rsid w:val="00E11FD0"/>
    <w:rsid w:val="00E12379"/>
    <w:rsid w:val="00E142DC"/>
    <w:rsid w:val="00E16D1F"/>
    <w:rsid w:val="00E20323"/>
    <w:rsid w:val="00E253D6"/>
    <w:rsid w:val="00E26AB4"/>
    <w:rsid w:val="00E32339"/>
    <w:rsid w:val="00E3408A"/>
    <w:rsid w:val="00E43782"/>
    <w:rsid w:val="00E4692D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188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E542B"/>
    <w:rsid w:val="00EF07C2"/>
    <w:rsid w:val="00EF179C"/>
    <w:rsid w:val="00EF3B1C"/>
    <w:rsid w:val="00EF565D"/>
    <w:rsid w:val="00F01E34"/>
    <w:rsid w:val="00F07C33"/>
    <w:rsid w:val="00F11DE6"/>
    <w:rsid w:val="00F130F2"/>
    <w:rsid w:val="00F13813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4D7C"/>
    <w:rsid w:val="00F65F1F"/>
    <w:rsid w:val="00F721C9"/>
    <w:rsid w:val="00F83AE4"/>
    <w:rsid w:val="00F9342A"/>
    <w:rsid w:val="00F939D8"/>
    <w:rsid w:val="00FA0BED"/>
    <w:rsid w:val="00FA323F"/>
    <w:rsid w:val="00FA3CF3"/>
    <w:rsid w:val="00FA4284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4.xml><?xml version="1.0" encoding="utf-8"?>
<ds:datastoreItem xmlns:ds="http://schemas.openxmlformats.org/officeDocument/2006/customXml" ds:itemID="{87486FDA-A7B4-4035-BB6A-96ADFF77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12334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mailto:privremenismjestaj@mpgi.hr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2022-06-13T08:40:00Z</dcterms:created>
  <dcterms:modified xsi:type="dcterms:W3CDTF">2022-06-27T08:33:00Z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