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36C" w14:textId="4CFF7F7F" w:rsidR="001544FE" w:rsidRDefault="001544FE" w:rsidP="001544FE"/>
    <w:p w14:paraId="00CAFC83" w14:textId="08A26A33" w:rsidR="001544FE" w:rsidRPr="00B43EC5" w:rsidRDefault="001544FE" w:rsidP="001544FE">
      <w:pPr>
        <w:rPr>
          <w:rFonts w:cstheme="minorHAnsi"/>
        </w:rPr>
      </w:pPr>
      <w:r w:rsidRPr="00B43EC5">
        <w:rPr>
          <w:rFonts w:cstheme="minorHAnsi"/>
        </w:rPr>
        <w:t>JN0311-020 – Upravljanje projektom</w:t>
      </w:r>
    </w:p>
    <w:p w14:paraId="59D0E2B2" w14:textId="7B6E8579" w:rsidR="001544FE" w:rsidRDefault="001544FE" w:rsidP="001544FE">
      <w:r w:rsidRPr="00B43EC5">
        <w:rPr>
          <w:rFonts w:cstheme="minorHAnsi"/>
        </w:rPr>
        <w:t xml:space="preserve">Prilog </w:t>
      </w:r>
      <w:r w:rsidR="002752B9">
        <w:rPr>
          <w:rFonts w:cstheme="minorHAnsi"/>
        </w:rPr>
        <w:t>2</w:t>
      </w:r>
      <w:r w:rsidRPr="00B43EC5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19844C50" w14:textId="77777777" w:rsidR="001544FE" w:rsidRDefault="001544FE" w:rsidP="001544FE"/>
    <w:p w14:paraId="306ABA45" w14:textId="06C2536E" w:rsidR="001544FE" w:rsidRPr="00422613" w:rsidRDefault="002752B9" w:rsidP="001544FE">
      <w:pPr>
        <w:spacing w:before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OPIS POSLA</w:t>
      </w:r>
    </w:p>
    <w:p w14:paraId="714AA616" w14:textId="77777777" w:rsidR="002752B9" w:rsidRDefault="002752B9" w:rsidP="001544FE">
      <w:pPr>
        <w:rPr>
          <w:rFonts w:eastAsia="Calibri" w:cs="Arial"/>
          <w:bCs/>
        </w:rPr>
      </w:pPr>
    </w:p>
    <w:p w14:paraId="410B749B" w14:textId="7BC3DFE9" w:rsidR="002752B9" w:rsidRPr="002752B9" w:rsidRDefault="002752B9" w:rsidP="001544FE">
      <w:pPr>
        <w:rPr>
          <w:rFonts w:eastAsia="Calibri" w:cs="Arial"/>
          <w:b/>
        </w:rPr>
      </w:pPr>
      <w:r w:rsidRPr="002752B9">
        <w:rPr>
          <w:rFonts w:eastAsia="Calibri" w:cs="Arial"/>
          <w:b/>
        </w:rPr>
        <w:t>PODACI O PROJEKTU:</w:t>
      </w:r>
    </w:p>
    <w:p w14:paraId="235589CA" w14:textId="77777777" w:rsidR="002752B9" w:rsidRDefault="002752B9" w:rsidP="001544FE">
      <w:pPr>
        <w:rPr>
          <w:rFonts w:eastAsia="Calibri" w:cs="Arial"/>
          <w:bCs/>
        </w:rPr>
      </w:pPr>
    </w:p>
    <w:p w14:paraId="2471ECE0" w14:textId="0C6990E3" w:rsidR="002752B9" w:rsidRDefault="002752B9" w:rsidP="001544FE">
      <w:pPr>
        <w:rPr>
          <w:rFonts w:eastAsia="Calibri" w:cs="Arial"/>
          <w:bCs/>
        </w:rPr>
      </w:pPr>
      <w:r w:rsidRPr="002752B9">
        <w:rPr>
          <w:rFonts w:eastAsia="Calibri" w:cs="Arial"/>
          <w:b/>
        </w:rPr>
        <w:t>Naziv projekta</w:t>
      </w:r>
      <w:r>
        <w:rPr>
          <w:rFonts w:eastAsia="Calibri" w:cs="Arial"/>
          <w:bCs/>
        </w:rPr>
        <w:t xml:space="preserve">: </w:t>
      </w:r>
      <w:r w:rsidRPr="002752B9">
        <w:rPr>
          <w:rFonts w:eastAsia="Calibri" w:cs="Arial"/>
          <w:bCs/>
        </w:rPr>
        <w:t>Razvoj inovativnog mobilnog sustava za natkrivanje i zaštitu nasada</w:t>
      </w:r>
    </w:p>
    <w:p w14:paraId="48E805D8" w14:textId="73BF8B00" w:rsidR="002752B9" w:rsidRDefault="002752B9" w:rsidP="001544FE">
      <w:pPr>
        <w:rPr>
          <w:rFonts w:eastAsia="Calibri" w:cs="Arial"/>
          <w:bCs/>
        </w:rPr>
      </w:pPr>
      <w:r w:rsidRPr="002752B9">
        <w:rPr>
          <w:rFonts w:eastAsia="Calibri" w:cs="Arial"/>
          <w:b/>
        </w:rPr>
        <w:t>Kod projekta</w:t>
      </w:r>
      <w:r>
        <w:rPr>
          <w:rFonts w:eastAsia="Calibri" w:cs="Arial"/>
          <w:bCs/>
        </w:rPr>
        <w:t xml:space="preserve">: </w:t>
      </w:r>
      <w:r w:rsidRPr="002752B9">
        <w:rPr>
          <w:rFonts w:eastAsia="Calibri" w:cs="Arial"/>
          <w:bCs/>
        </w:rPr>
        <w:t>KK.01.2.1.02.0311</w:t>
      </w:r>
    </w:p>
    <w:p w14:paraId="16447C6F" w14:textId="647C97D1" w:rsidR="002752B9" w:rsidRDefault="002752B9" w:rsidP="001544FE">
      <w:pPr>
        <w:rPr>
          <w:rFonts w:eastAsia="Calibri" w:cs="Arial"/>
          <w:bCs/>
        </w:rPr>
      </w:pPr>
      <w:r w:rsidRPr="002752B9">
        <w:rPr>
          <w:rFonts w:eastAsia="Calibri" w:cs="Arial"/>
          <w:b/>
        </w:rPr>
        <w:t>Poziv na dostavu projektnih prijedloga</w:t>
      </w:r>
      <w:r>
        <w:rPr>
          <w:rFonts w:eastAsia="Calibri" w:cs="Arial"/>
          <w:bCs/>
        </w:rPr>
        <w:t>: Povećanje razvoja novih proizvoda i usluga koji proizlaze iz aktivnosti istraživanja i razvoja – faza II</w:t>
      </w:r>
    </w:p>
    <w:p w14:paraId="4F98A66B" w14:textId="094BEAA2" w:rsidR="00411626" w:rsidRPr="00411626" w:rsidRDefault="00411626" w:rsidP="00411626">
      <w:pPr>
        <w:rPr>
          <w:rFonts w:eastAsia="Calibri" w:cs="Arial"/>
          <w:bCs/>
        </w:rPr>
      </w:pPr>
      <w:r w:rsidRPr="00411626">
        <w:rPr>
          <w:rFonts w:eastAsia="Calibri" w:cs="Arial"/>
          <w:b/>
        </w:rPr>
        <w:t>Trajanje projekta</w:t>
      </w:r>
      <w:r>
        <w:rPr>
          <w:rFonts w:eastAsia="Calibri" w:cs="Arial"/>
          <w:bCs/>
        </w:rPr>
        <w:t xml:space="preserve">: </w:t>
      </w:r>
      <w:r w:rsidRPr="00411626">
        <w:rPr>
          <w:rFonts w:eastAsia="Calibri" w:cs="Arial"/>
          <w:bCs/>
        </w:rPr>
        <w:t>Projekt je započeo s provedbom 1.9.2020.</w:t>
      </w:r>
    </w:p>
    <w:p w14:paraId="2E354910" w14:textId="77777777" w:rsidR="00411626" w:rsidRPr="00411626" w:rsidRDefault="00411626" w:rsidP="00411626">
      <w:pPr>
        <w:rPr>
          <w:rFonts w:eastAsia="Calibri" w:cs="Arial"/>
          <w:bCs/>
        </w:rPr>
      </w:pPr>
      <w:r w:rsidRPr="00411626">
        <w:rPr>
          <w:rFonts w:eastAsia="Calibri" w:cs="Arial"/>
          <w:bCs/>
        </w:rPr>
        <w:t>Faza Industrijskog istraživanja traje od 1.9.2020. do 1.9.2022.</w:t>
      </w:r>
    </w:p>
    <w:p w14:paraId="2D9CC55E" w14:textId="4D40BDC2" w:rsidR="00411626" w:rsidRDefault="00411626" w:rsidP="00411626">
      <w:pPr>
        <w:rPr>
          <w:rFonts w:eastAsia="Calibri" w:cs="Arial"/>
          <w:bCs/>
        </w:rPr>
      </w:pPr>
      <w:r w:rsidRPr="00411626">
        <w:rPr>
          <w:rFonts w:eastAsia="Calibri" w:cs="Arial"/>
          <w:bCs/>
        </w:rPr>
        <w:t>Faza Eksperimentalnog razvoja traje od 1.9.2022. do 1.9.2023. kada završava projekt</w:t>
      </w:r>
    </w:p>
    <w:p w14:paraId="65FD91C9" w14:textId="77777777" w:rsidR="00411626" w:rsidRDefault="00411626" w:rsidP="001544FE">
      <w:pPr>
        <w:rPr>
          <w:rFonts w:eastAsia="Calibri" w:cs="Arial"/>
          <w:b/>
        </w:rPr>
      </w:pPr>
    </w:p>
    <w:p w14:paraId="732BFC58" w14:textId="40751042" w:rsidR="002752B9" w:rsidRDefault="002752B9" w:rsidP="001544FE">
      <w:pPr>
        <w:rPr>
          <w:rFonts w:eastAsia="Calibri" w:cs="Arial"/>
          <w:bCs/>
        </w:rPr>
      </w:pPr>
      <w:r w:rsidRPr="002752B9">
        <w:rPr>
          <w:rFonts w:eastAsia="Calibri" w:cs="Arial"/>
          <w:b/>
        </w:rPr>
        <w:t>Opis projekta</w:t>
      </w:r>
      <w:r>
        <w:rPr>
          <w:rFonts w:eastAsia="Calibri" w:cs="Arial"/>
          <w:bCs/>
        </w:rPr>
        <w:t xml:space="preserve">: </w:t>
      </w:r>
    </w:p>
    <w:p w14:paraId="37AEB076" w14:textId="55DEB9E0" w:rsidR="002752B9" w:rsidRDefault="002752B9" w:rsidP="002752B9">
      <w:pPr>
        <w:jc w:val="both"/>
        <w:rPr>
          <w:rFonts w:eastAsia="Calibri" w:cs="Arial"/>
          <w:bCs/>
        </w:rPr>
      </w:pPr>
      <w:r w:rsidRPr="002752B9">
        <w:rPr>
          <w:rFonts w:eastAsia="Calibri" w:cs="Arial"/>
          <w:bCs/>
        </w:rPr>
        <w:t xml:space="preserve">Prijavitelj posjeduje </w:t>
      </w:r>
      <w:proofErr w:type="spellStart"/>
      <w:r w:rsidRPr="002752B9">
        <w:rPr>
          <w:rFonts w:eastAsia="Calibri" w:cs="Arial"/>
          <w:bCs/>
        </w:rPr>
        <w:t>pedesetgodišnje</w:t>
      </w:r>
      <w:proofErr w:type="spellEnd"/>
      <w:r w:rsidRPr="002752B9">
        <w:rPr>
          <w:rFonts w:eastAsia="Calibri" w:cs="Arial"/>
          <w:bCs/>
        </w:rPr>
        <w:t xml:space="preserve"> iskustvo u proizvodnji ekstrudiranih plastičnih profila i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 xml:space="preserve">PVC granulata te kontinuirano </w:t>
      </w:r>
      <w:proofErr w:type="spellStart"/>
      <w:r w:rsidRPr="002752B9">
        <w:rPr>
          <w:rFonts w:eastAsia="Calibri" w:cs="Arial"/>
          <w:bCs/>
        </w:rPr>
        <w:t>unaprijeđuje</w:t>
      </w:r>
      <w:proofErr w:type="spellEnd"/>
      <w:r w:rsidRPr="002752B9">
        <w:rPr>
          <w:rFonts w:eastAsia="Calibri" w:cs="Arial"/>
          <w:bCs/>
        </w:rPr>
        <w:t xml:space="preserve"> svoj poslovni proces uvođenjem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naprednih tehnologije prerade i proizvodnje brizganih dijelova. Prijavitelj razvija nove proizvode za potrebe svojih kupaca te ima mogućnosti izrade i posebnih alata u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vlastitoj alatnici, a s godinama uspješnog poslovanja razvio je široku bazu međunarodnih kupaca te je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međunarodno prepoznat kao kvalitetan proizvođač materijala za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 xml:space="preserve">izradu šireg broja proizvoda (kamp kućice, akrilne ploče, </w:t>
      </w:r>
      <w:proofErr w:type="spellStart"/>
      <w:r w:rsidRPr="002752B9">
        <w:rPr>
          <w:rFonts w:eastAsia="Calibri" w:cs="Arial"/>
          <w:bCs/>
        </w:rPr>
        <w:t>građ</w:t>
      </w:r>
      <w:proofErr w:type="spellEnd"/>
      <w:r w:rsidRPr="002752B9">
        <w:rPr>
          <w:rFonts w:eastAsia="Calibri" w:cs="Arial"/>
          <w:bCs/>
        </w:rPr>
        <w:t>. kontejneri).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Imajući u vidu prethodna znanja i iskustva u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proizvodnji složenih polimernih struktura i plastičnih profila, Prijavitelj je ovim projektom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planirao proširiti proizvodni i prodajni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asortiman poduzeća razvojem novih vlastitih tehnoloških rješenja za unaprjeđenje poljoprivredne proizvodnje i uzgoja biljaka u zaštićenim prostorima neovisno o klimatskim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i temperaturnim uvjetima.</w:t>
      </w:r>
      <w:r w:rsidRPr="002752B9">
        <w:t xml:space="preserve"> </w:t>
      </w:r>
      <w:r w:rsidRPr="002752B9">
        <w:rPr>
          <w:rFonts w:eastAsia="Calibri" w:cs="Arial"/>
          <w:bCs/>
        </w:rPr>
        <w:t xml:space="preserve">Prijavitelj je prepoznao tržišnu potrebu za kreiranjem inovativnog rješenja koje bi značajno unaprijedilo poznata rješenja za izvedbu zaštićenih </w:t>
      </w:r>
      <w:proofErr w:type="spellStart"/>
      <w:r w:rsidRPr="002752B9">
        <w:rPr>
          <w:rFonts w:eastAsia="Calibri" w:cs="Arial"/>
          <w:bCs/>
        </w:rPr>
        <w:t>plasteničkih</w:t>
      </w:r>
      <w:proofErr w:type="spellEnd"/>
      <w:r w:rsidRPr="002752B9">
        <w:rPr>
          <w:rFonts w:eastAsia="Calibri" w:cs="Arial"/>
          <w:bCs/>
        </w:rPr>
        <w:t xml:space="preserve"> prostora za uzgoj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 xml:space="preserve">bilja, iskoristilo prazninu na tržištu te udovoljilo potražnji za novim proizvodima u ovoj domeni. </w:t>
      </w:r>
    </w:p>
    <w:p w14:paraId="79A4F62B" w14:textId="77777777" w:rsidR="002752B9" w:rsidRDefault="002752B9" w:rsidP="002752B9">
      <w:pPr>
        <w:jc w:val="both"/>
        <w:rPr>
          <w:rFonts w:eastAsia="Calibri" w:cs="Arial"/>
          <w:bCs/>
        </w:rPr>
      </w:pPr>
    </w:p>
    <w:p w14:paraId="3A6C7167" w14:textId="77777777" w:rsidR="002752B9" w:rsidRDefault="002752B9" w:rsidP="002752B9">
      <w:pPr>
        <w:jc w:val="both"/>
        <w:rPr>
          <w:rFonts w:eastAsia="Calibri" w:cs="Arial"/>
          <w:bCs/>
        </w:rPr>
      </w:pPr>
      <w:r w:rsidRPr="002752B9">
        <w:rPr>
          <w:rFonts w:eastAsia="Calibri" w:cs="Arial"/>
          <w:bCs/>
        </w:rPr>
        <w:t>Ovim projektom prijavitelj želi razviti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novo inovativno rješenje za natkrivanje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poljoprivrednih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nasada, koji će omogućiti značajno jednostavnije sastavljanje, rastavljanje i konfiguriranje</w:t>
      </w:r>
      <w:r>
        <w:rPr>
          <w:rFonts w:eastAsia="Calibri" w:cs="Arial"/>
          <w:bCs/>
        </w:rPr>
        <w:t xml:space="preserve"> </w:t>
      </w:r>
      <w:proofErr w:type="spellStart"/>
      <w:r w:rsidRPr="002752B9">
        <w:rPr>
          <w:rFonts w:eastAsia="Calibri" w:cs="Arial"/>
          <w:bCs/>
        </w:rPr>
        <w:t>plasteničkih</w:t>
      </w:r>
      <w:proofErr w:type="spellEnd"/>
      <w:r w:rsidRPr="002752B9">
        <w:rPr>
          <w:rFonts w:eastAsia="Calibri" w:cs="Arial"/>
          <w:bCs/>
        </w:rPr>
        <w:t xml:space="preserve"> površina ovisno o potrebama proizvodnje, a zbog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svoje jednostavnosti sastavljanja biti će značajno mobilnije u odnosu na postojeća rješenja na tržištu</w:t>
      </w:r>
      <w:r>
        <w:rPr>
          <w:rFonts w:eastAsia="Calibri" w:cs="Arial"/>
          <w:bCs/>
        </w:rPr>
        <w:t xml:space="preserve">. </w:t>
      </w:r>
      <w:r w:rsidRPr="002752B9">
        <w:rPr>
          <w:rFonts w:eastAsia="Calibri" w:cs="Arial"/>
          <w:bCs/>
        </w:rPr>
        <w:t xml:space="preserve">Obzirom na višegodišnje iskustvo u proizvodnji raznih plastičnih materijala, prijavitelj </w:t>
      </w:r>
      <w:r>
        <w:rPr>
          <w:rFonts w:eastAsia="Calibri" w:cs="Arial"/>
          <w:bCs/>
        </w:rPr>
        <w:t xml:space="preserve">je </w:t>
      </w:r>
      <w:r w:rsidRPr="002752B9">
        <w:rPr>
          <w:rFonts w:eastAsia="Calibri" w:cs="Arial"/>
          <w:bCs/>
        </w:rPr>
        <w:t>u suradnji sa stručnjacima Fakulteta strojarstva i brodogradnje, ovim istraživanjem</w:t>
      </w:r>
      <w:r>
        <w:rPr>
          <w:rFonts w:eastAsia="Calibri" w:cs="Arial"/>
          <w:bCs/>
        </w:rPr>
        <w:t xml:space="preserve"> </w:t>
      </w:r>
      <w:r w:rsidRPr="002752B9">
        <w:rPr>
          <w:rFonts w:eastAsia="Calibri" w:cs="Arial"/>
          <w:bCs/>
        </w:rPr>
        <w:t>definirao koncept inovativnog proizvoda koji će, u odnosu na postojeća dostupna tržišna predstavljati značajno poboljšanje u segmentima:</w:t>
      </w:r>
    </w:p>
    <w:p w14:paraId="2A5E7528" w14:textId="77777777" w:rsidR="002752B9" w:rsidRPr="002752B9" w:rsidRDefault="002752B9" w:rsidP="002752B9">
      <w:pPr>
        <w:pStyle w:val="Odlomakpopisa"/>
        <w:numPr>
          <w:ilvl w:val="0"/>
          <w:numId w:val="35"/>
        </w:numPr>
        <w:jc w:val="both"/>
        <w:rPr>
          <w:rFonts w:eastAsia="Calibri" w:cs="Arial"/>
          <w:bCs/>
        </w:rPr>
      </w:pPr>
      <w:r w:rsidRPr="002752B9">
        <w:rPr>
          <w:rFonts w:eastAsia="Calibri" w:cs="Arial"/>
          <w:bCs/>
        </w:rPr>
        <w:lastRenderedPageBreak/>
        <w:t>izdržljivosti materijala i konstrukcije na vanjske čimbenike (vjetar, tuču i druge elementarne nepogode)</w:t>
      </w:r>
    </w:p>
    <w:p w14:paraId="41B7079D" w14:textId="77777777" w:rsidR="002752B9" w:rsidRPr="002752B9" w:rsidRDefault="002752B9" w:rsidP="002752B9">
      <w:pPr>
        <w:pStyle w:val="Odlomakpopisa"/>
        <w:numPr>
          <w:ilvl w:val="0"/>
          <w:numId w:val="35"/>
        </w:numPr>
        <w:jc w:val="both"/>
        <w:rPr>
          <w:rFonts w:eastAsia="Calibri" w:cs="Arial"/>
          <w:bCs/>
        </w:rPr>
      </w:pPr>
      <w:r w:rsidRPr="002752B9">
        <w:rPr>
          <w:rFonts w:eastAsia="Calibri" w:cs="Arial"/>
          <w:bCs/>
        </w:rPr>
        <w:t>termoizolacije i osiguravanja adekvatne temperature za poljoprivredne kulture pod zaštitom</w:t>
      </w:r>
    </w:p>
    <w:p w14:paraId="292B5158" w14:textId="77777777" w:rsidR="002752B9" w:rsidRPr="002752B9" w:rsidRDefault="002752B9" w:rsidP="002752B9">
      <w:pPr>
        <w:pStyle w:val="Odlomakpopisa"/>
        <w:numPr>
          <w:ilvl w:val="0"/>
          <w:numId w:val="35"/>
        </w:numPr>
        <w:jc w:val="both"/>
        <w:rPr>
          <w:rFonts w:eastAsia="Calibri" w:cs="Arial"/>
          <w:bCs/>
        </w:rPr>
      </w:pPr>
      <w:r w:rsidRPr="002752B9">
        <w:rPr>
          <w:rFonts w:eastAsia="Calibri" w:cs="Arial"/>
          <w:bCs/>
        </w:rPr>
        <w:t>fizičke izdržljivosti materijala (abrazija, habanje i sl.)</w:t>
      </w:r>
    </w:p>
    <w:p w14:paraId="121DAE18" w14:textId="77777777" w:rsidR="002752B9" w:rsidRPr="002752B9" w:rsidRDefault="002752B9" w:rsidP="002752B9">
      <w:pPr>
        <w:pStyle w:val="Odlomakpopisa"/>
        <w:numPr>
          <w:ilvl w:val="0"/>
          <w:numId w:val="35"/>
        </w:numPr>
        <w:jc w:val="both"/>
        <w:rPr>
          <w:rFonts w:eastAsia="Calibri" w:cs="Arial"/>
          <w:bCs/>
        </w:rPr>
      </w:pPr>
      <w:r w:rsidRPr="002752B9">
        <w:rPr>
          <w:rFonts w:eastAsia="Calibri" w:cs="Arial"/>
          <w:bCs/>
        </w:rPr>
        <w:t>montaže i demontaže</w:t>
      </w:r>
    </w:p>
    <w:p w14:paraId="37F8959E" w14:textId="209F160D" w:rsidR="002752B9" w:rsidRPr="002752B9" w:rsidRDefault="002752B9" w:rsidP="002752B9">
      <w:pPr>
        <w:pStyle w:val="Odlomakpopisa"/>
        <w:numPr>
          <w:ilvl w:val="0"/>
          <w:numId w:val="35"/>
        </w:numPr>
        <w:jc w:val="both"/>
        <w:rPr>
          <w:rFonts w:eastAsia="Calibri" w:cs="Arial"/>
          <w:bCs/>
        </w:rPr>
      </w:pPr>
      <w:r w:rsidRPr="002752B9">
        <w:rPr>
          <w:rFonts w:eastAsia="Calibri" w:cs="Arial"/>
          <w:bCs/>
        </w:rPr>
        <w:t>cjenovne dostupnosti</w:t>
      </w:r>
    </w:p>
    <w:p w14:paraId="0C731EC0" w14:textId="77777777" w:rsidR="002752B9" w:rsidRDefault="002752B9" w:rsidP="001544FE">
      <w:pPr>
        <w:rPr>
          <w:rFonts w:eastAsia="Calibri" w:cs="Arial"/>
          <w:bCs/>
        </w:rPr>
      </w:pPr>
    </w:p>
    <w:p w14:paraId="6662E8FB" w14:textId="77777777" w:rsidR="002752B9" w:rsidRDefault="002752B9" w:rsidP="001544FE">
      <w:pPr>
        <w:rPr>
          <w:rFonts w:eastAsia="Calibri" w:cs="Arial"/>
          <w:bCs/>
        </w:rPr>
      </w:pPr>
    </w:p>
    <w:p w14:paraId="6B4E0632" w14:textId="00DEC0F6" w:rsidR="002752B9" w:rsidRDefault="002752B9" w:rsidP="001544FE">
      <w:pPr>
        <w:rPr>
          <w:rFonts w:eastAsia="Calibri" w:cs="Arial"/>
          <w:bCs/>
        </w:rPr>
      </w:pPr>
      <w:r>
        <w:rPr>
          <w:rFonts w:eastAsia="Calibri" w:cs="Arial"/>
          <w:bCs/>
        </w:rPr>
        <w:t>OPIS ZADATA</w:t>
      </w:r>
      <w:r w:rsidR="00411626">
        <w:rPr>
          <w:rFonts w:eastAsia="Calibri" w:cs="Arial"/>
          <w:bCs/>
        </w:rPr>
        <w:t>KA</w:t>
      </w:r>
    </w:p>
    <w:p w14:paraId="508708C1" w14:textId="6AB13D50" w:rsidR="002752B9" w:rsidRDefault="002752B9" w:rsidP="001544FE">
      <w:pPr>
        <w:rPr>
          <w:rFonts w:eastAsia="Calibri" w:cs="Arial"/>
          <w:bCs/>
        </w:rPr>
      </w:pPr>
    </w:p>
    <w:p w14:paraId="0E7B1586" w14:textId="1E8E534F" w:rsidR="00D629FA" w:rsidRDefault="00D629FA" w:rsidP="00411626">
      <w:pPr>
        <w:jc w:val="both"/>
        <w:rPr>
          <w:rFonts w:eastAsia="Calibri" w:cs="Arial"/>
          <w:bCs/>
        </w:rPr>
      </w:pPr>
      <w:r w:rsidRPr="00D629FA">
        <w:rPr>
          <w:rFonts w:eastAsia="Calibri" w:cs="Arial"/>
          <w:bCs/>
        </w:rPr>
        <w:t xml:space="preserve">Odabrani Ponuditelj bit će angažiran za pružanje savjetodavnih usluga za upravljanje projektom, financijsko i tehničko praćenje provedbe projekta te pripremu i provedbu postupaka nabave za potrebe projekta (za oba partnera). Od odabranog Ponuditelja se očekuje izvršenje sljedećeg: </w:t>
      </w:r>
    </w:p>
    <w:p w14:paraId="20C39280" w14:textId="77777777" w:rsidR="00D629FA" w:rsidRDefault="00D629FA" w:rsidP="00D629FA">
      <w:pPr>
        <w:rPr>
          <w:rFonts w:eastAsia="Calibri" w:cs="Arial"/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5FC0" w14:paraId="18CCB298" w14:textId="77777777" w:rsidTr="00293E1E">
        <w:trPr>
          <w:trHeight w:val="288"/>
        </w:trPr>
        <w:tc>
          <w:tcPr>
            <w:tcW w:w="9067" w:type="dxa"/>
          </w:tcPr>
          <w:p w14:paraId="72B2A538" w14:textId="4CC27FFA" w:rsidR="00475FC0" w:rsidRPr="00D629FA" w:rsidRDefault="00475FC0" w:rsidP="00D629FA">
            <w:pPr>
              <w:jc w:val="center"/>
              <w:rPr>
                <w:rFonts w:eastAsia="Calibri" w:cs="Arial"/>
                <w:b/>
              </w:rPr>
            </w:pPr>
            <w:r w:rsidRPr="00D629FA">
              <w:rPr>
                <w:rFonts w:eastAsia="Calibri" w:cs="Arial"/>
                <w:b/>
              </w:rPr>
              <w:t>ZADATAK</w:t>
            </w:r>
          </w:p>
        </w:tc>
      </w:tr>
      <w:tr w:rsidR="00475FC0" w14:paraId="28752ED7" w14:textId="77777777" w:rsidTr="00293E1E">
        <w:trPr>
          <w:trHeight w:val="877"/>
        </w:trPr>
        <w:tc>
          <w:tcPr>
            <w:tcW w:w="9067" w:type="dxa"/>
          </w:tcPr>
          <w:p w14:paraId="7FEC2909" w14:textId="50005D35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sudjelovanje na sastancima projektnog tima na adresi Naručitelja i partnera u svrhu koordinacije (minimalno jednom u dva tjedna) i praćenja provedbe aktivnosti</w:t>
            </w:r>
          </w:p>
        </w:tc>
      </w:tr>
      <w:tr w:rsidR="00475FC0" w14:paraId="1AC7EBF5" w14:textId="77777777" w:rsidTr="00293E1E">
        <w:trPr>
          <w:trHeight w:val="589"/>
        </w:trPr>
        <w:tc>
          <w:tcPr>
            <w:tcW w:w="9067" w:type="dxa"/>
          </w:tcPr>
          <w:p w14:paraId="3292AD92" w14:textId="78CE2149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zahtjeva za plaćanje predujma (na zahtjev Naručitelja) te podrška u pripremi popratne dokumentacije zahtjevima</w:t>
            </w:r>
          </w:p>
        </w:tc>
      </w:tr>
      <w:tr w:rsidR="00475FC0" w14:paraId="51209454" w14:textId="77777777" w:rsidTr="00293E1E">
        <w:trPr>
          <w:trHeight w:val="589"/>
        </w:trPr>
        <w:tc>
          <w:tcPr>
            <w:tcW w:w="9067" w:type="dxa"/>
          </w:tcPr>
          <w:p w14:paraId="02B3C763" w14:textId="1F61B94A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zahtjeva za nadoknadom sredstava i eventualnih izvanrednih izvještaja na traženje posredničkih tijela</w:t>
            </w:r>
          </w:p>
        </w:tc>
      </w:tr>
      <w:tr w:rsidR="00475FC0" w14:paraId="3B8805EE" w14:textId="77777777" w:rsidTr="00293E1E">
        <w:trPr>
          <w:trHeight w:val="577"/>
        </w:trPr>
        <w:tc>
          <w:tcPr>
            <w:tcW w:w="9067" w:type="dxa"/>
          </w:tcPr>
          <w:p w14:paraId="69E73314" w14:textId="51ECB1ED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ispravaka zahtjeva za nadoknadom sredstava i zahtjeva za plaćanje predujma (po potrebi),</w:t>
            </w:r>
          </w:p>
        </w:tc>
      </w:tr>
      <w:tr w:rsidR="00475FC0" w14:paraId="2787F20D" w14:textId="77777777" w:rsidTr="00293E1E">
        <w:trPr>
          <w:trHeight w:val="300"/>
        </w:trPr>
        <w:tc>
          <w:tcPr>
            <w:tcW w:w="9067" w:type="dxa"/>
          </w:tcPr>
          <w:p w14:paraId="6C585CB7" w14:textId="5E3EEC87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manjih i većih izmjena Ugovora (na zahtjev Naručitelja),</w:t>
            </w:r>
          </w:p>
        </w:tc>
      </w:tr>
      <w:tr w:rsidR="00475FC0" w14:paraId="4A781204" w14:textId="77777777" w:rsidTr="00293E1E">
        <w:trPr>
          <w:trHeight w:val="288"/>
        </w:trPr>
        <w:tc>
          <w:tcPr>
            <w:tcW w:w="9067" w:type="dxa"/>
          </w:tcPr>
          <w:p w14:paraId="255DA0FC" w14:textId="72D0A234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izjava o poravnanju predujma (na zahtjev Naručitelja),</w:t>
            </w:r>
          </w:p>
        </w:tc>
      </w:tr>
      <w:tr w:rsidR="00475FC0" w14:paraId="3C59CD2E" w14:textId="77777777" w:rsidTr="00293E1E">
        <w:trPr>
          <w:trHeight w:val="877"/>
        </w:trPr>
        <w:tc>
          <w:tcPr>
            <w:tcW w:w="9067" w:type="dxa"/>
          </w:tcPr>
          <w:p w14:paraId="7B57FFFC" w14:textId="6505ED9E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pružanje podrške u popunjavanju obrazaca za troškove osoblja i kompletno praćenje statusa radnih sati za svakog člana projektnog tima, upozoravanje Naručitelja i partnera na odstupanja od plana</w:t>
            </w:r>
          </w:p>
        </w:tc>
      </w:tr>
      <w:tr w:rsidR="00475FC0" w14:paraId="0B48416A" w14:textId="77777777" w:rsidTr="00293E1E">
        <w:trPr>
          <w:trHeight w:val="288"/>
        </w:trPr>
        <w:tc>
          <w:tcPr>
            <w:tcW w:w="9067" w:type="dxa"/>
          </w:tcPr>
          <w:p w14:paraId="0F854907" w14:textId="25BBBF00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i ažuriranje registra projektnih rizika</w:t>
            </w:r>
          </w:p>
        </w:tc>
      </w:tr>
      <w:tr w:rsidR="00475FC0" w14:paraId="0DA47199" w14:textId="77777777" w:rsidTr="00293E1E">
        <w:trPr>
          <w:trHeight w:val="877"/>
        </w:trPr>
        <w:tc>
          <w:tcPr>
            <w:tcW w:w="9067" w:type="dxa"/>
          </w:tcPr>
          <w:p w14:paraId="09C6DA44" w14:textId="0E299F36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vremenskog plana projekta s praćenjem odstupanja u postizanju projektnih prekretnica u odgovarajućem softwareu koji omogućava praćenje odstupanja u odnosu na „</w:t>
            </w:r>
            <w:proofErr w:type="spellStart"/>
            <w:r w:rsidRPr="00D629FA">
              <w:rPr>
                <w:rFonts w:eastAsia="Calibri" w:cs="Arial"/>
                <w:bCs/>
              </w:rPr>
              <w:t>baseline</w:t>
            </w:r>
            <w:proofErr w:type="spellEnd"/>
            <w:r w:rsidRPr="00D629FA">
              <w:rPr>
                <w:rFonts w:eastAsia="Calibri" w:cs="Arial"/>
                <w:bCs/>
              </w:rPr>
              <w:t>“</w:t>
            </w:r>
          </w:p>
        </w:tc>
      </w:tr>
      <w:tr w:rsidR="00475FC0" w14:paraId="63D1D5C4" w14:textId="77777777" w:rsidTr="00293E1E">
        <w:trPr>
          <w:trHeight w:val="288"/>
        </w:trPr>
        <w:tc>
          <w:tcPr>
            <w:tcW w:w="9067" w:type="dxa"/>
          </w:tcPr>
          <w:p w14:paraId="2F9B43BD" w14:textId="2B00E3D0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ažuriranje plana nabave (na zahtjev Naručitelja)</w:t>
            </w:r>
          </w:p>
        </w:tc>
      </w:tr>
      <w:tr w:rsidR="00475FC0" w14:paraId="74C95FA8" w14:textId="77777777" w:rsidTr="00293E1E">
        <w:trPr>
          <w:trHeight w:val="300"/>
        </w:trPr>
        <w:tc>
          <w:tcPr>
            <w:tcW w:w="9067" w:type="dxa"/>
          </w:tcPr>
          <w:p w14:paraId="49312AEC" w14:textId="3C20D6B4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komunikacija s posredničkim tijelima</w:t>
            </w:r>
          </w:p>
        </w:tc>
      </w:tr>
      <w:tr w:rsidR="00475FC0" w14:paraId="48846D1E" w14:textId="77777777" w:rsidTr="00293E1E">
        <w:trPr>
          <w:trHeight w:val="288"/>
        </w:trPr>
        <w:tc>
          <w:tcPr>
            <w:tcW w:w="9067" w:type="dxa"/>
          </w:tcPr>
          <w:p w14:paraId="59CD41B6" w14:textId="14570783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sudjelovanje u provjerama na licu mjesta</w:t>
            </w:r>
          </w:p>
        </w:tc>
      </w:tr>
      <w:tr w:rsidR="00475FC0" w14:paraId="59F960A5" w14:textId="77777777" w:rsidTr="00293E1E">
        <w:trPr>
          <w:trHeight w:val="288"/>
        </w:trPr>
        <w:tc>
          <w:tcPr>
            <w:tcW w:w="9067" w:type="dxa"/>
          </w:tcPr>
          <w:p w14:paraId="29B18702" w14:textId="4B85A1B1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pružanje podrške u planiranju novčanog tijeka projekta</w:t>
            </w:r>
          </w:p>
        </w:tc>
      </w:tr>
      <w:tr w:rsidR="00475FC0" w14:paraId="70466779" w14:textId="77777777" w:rsidTr="00293E1E">
        <w:trPr>
          <w:trHeight w:val="288"/>
        </w:trPr>
        <w:tc>
          <w:tcPr>
            <w:tcW w:w="9067" w:type="dxa"/>
          </w:tcPr>
          <w:p w14:paraId="6B89F26A" w14:textId="7C3F0720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pružanje podrške u računovodstvenoj evidenciji projektnih izdataka</w:t>
            </w:r>
          </w:p>
        </w:tc>
      </w:tr>
      <w:tr w:rsidR="00475FC0" w14:paraId="3A0745E3" w14:textId="77777777" w:rsidTr="00293E1E">
        <w:trPr>
          <w:trHeight w:val="589"/>
        </w:trPr>
        <w:tc>
          <w:tcPr>
            <w:tcW w:w="9067" w:type="dxa"/>
          </w:tcPr>
          <w:p w14:paraId="5CBB2A05" w14:textId="2EBC8AC8" w:rsidR="00475FC0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dokumentacije vezane uz postupke nabave, provedba postupaka nabave</w:t>
            </w:r>
          </w:p>
        </w:tc>
      </w:tr>
      <w:tr w:rsidR="00475FC0" w14:paraId="22E1490D" w14:textId="77777777" w:rsidTr="00293E1E">
        <w:trPr>
          <w:trHeight w:val="288"/>
        </w:trPr>
        <w:tc>
          <w:tcPr>
            <w:tcW w:w="9067" w:type="dxa"/>
          </w:tcPr>
          <w:p w14:paraId="3B7A959A" w14:textId="1207D649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odgovaranje na upite potencijalnih ponuditelja u postupcima nabave</w:t>
            </w:r>
          </w:p>
        </w:tc>
      </w:tr>
      <w:tr w:rsidR="00475FC0" w14:paraId="6EDFC186" w14:textId="77777777" w:rsidTr="00293E1E">
        <w:trPr>
          <w:trHeight w:val="288"/>
        </w:trPr>
        <w:tc>
          <w:tcPr>
            <w:tcW w:w="9067" w:type="dxa"/>
          </w:tcPr>
          <w:p w14:paraId="5F06024E" w14:textId="56C22ED5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lastRenderedPageBreak/>
              <w:t>sudjelovanje u povjerenstvima za nabavu (na zahtjev Naručitelja)</w:t>
            </w:r>
          </w:p>
        </w:tc>
      </w:tr>
      <w:tr w:rsidR="00475FC0" w14:paraId="1402861E" w14:textId="77777777" w:rsidTr="00293E1E">
        <w:trPr>
          <w:trHeight w:val="589"/>
        </w:trPr>
        <w:tc>
          <w:tcPr>
            <w:tcW w:w="9067" w:type="dxa"/>
          </w:tcPr>
          <w:p w14:paraId="17915C72" w14:textId="0E20CE95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sudjelovanje na sastancima za pregled i ocjenu ponuda (na zahtjev Naručitelja)</w:t>
            </w:r>
          </w:p>
        </w:tc>
      </w:tr>
      <w:tr w:rsidR="00475FC0" w14:paraId="16E3EBA6" w14:textId="77777777" w:rsidTr="00293E1E">
        <w:trPr>
          <w:trHeight w:val="288"/>
        </w:trPr>
        <w:tc>
          <w:tcPr>
            <w:tcW w:w="9067" w:type="dxa"/>
          </w:tcPr>
          <w:p w14:paraId="71F005F8" w14:textId="596C8E21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zapisnika sa sastanaka za pregled i ocjenu ponuda</w:t>
            </w:r>
          </w:p>
        </w:tc>
      </w:tr>
      <w:tr w:rsidR="00475FC0" w14:paraId="6456C34B" w14:textId="77777777" w:rsidTr="00293E1E">
        <w:trPr>
          <w:trHeight w:val="589"/>
        </w:trPr>
        <w:tc>
          <w:tcPr>
            <w:tcW w:w="9067" w:type="dxa"/>
          </w:tcPr>
          <w:p w14:paraId="50D21ACC" w14:textId="32782490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odluka o prihvaćanju i odbijanju, koordinacija projektnih dionica u vezi tehničke i stručne provedbe projekta</w:t>
            </w:r>
          </w:p>
        </w:tc>
      </w:tr>
      <w:tr w:rsidR="00475FC0" w14:paraId="513ED9F9" w14:textId="77777777" w:rsidTr="00293E1E">
        <w:trPr>
          <w:trHeight w:val="877"/>
        </w:trPr>
        <w:tc>
          <w:tcPr>
            <w:tcW w:w="9067" w:type="dxa"/>
          </w:tcPr>
          <w:p w14:paraId="6DDEAE2D" w14:textId="3A2CF34F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komunikacija s odabranim dobavljačima i kontrola izvršenja ugovora s dobavljačima uz provjeru kvalitete isporuka u odnosu na zahtjeve iz ugovora</w:t>
            </w:r>
          </w:p>
        </w:tc>
      </w:tr>
      <w:tr w:rsidR="00475FC0" w14:paraId="0E8E357C" w14:textId="77777777" w:rsidTr="00293E1E">
        <w:trPr>
          <w:trHeight w:val="288"/>
        </w:trPr>
        <w:tc>
          <w:tcPr>
            <w:tcW w:w="9067" w:type="dxa"/>
          </w:tcPr>
          <w:p w14:paraId="6A53D2F5" w14:textId="7E402695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kontrola izdanih računa i izvršenih plaćanja</w:t>
            </w:r>
          </w:p>
        </w:tc>
      </w:tr>
      <w:tr w:rsidR="00475FC0" w14:paraId="77765458" w14:textId="77777777" w:rsidTr="00293E1E">
        <w:trPr>
          <w:trHeight w:val="288"/>
        </w:trPr>
        <w:tc>
          <w:tcPr>
            <w:tcW w:w="9067" w:type="dxa"/>
          </w:tcPr>
          <w:p w14:paraId="6A302444" w14:textId="7144228D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izrada primopredajnih zapisnika (po potrebi)</w:t>
            </w:r>
          </w:p>
        </w:tc>
      </w:tr>
      <w:tr w:rsidR="00475FC0" w14:paraId="35B76933" w14:textId="77777777" w:rsidTr="00293E1E">
        <w:trPr>
          <w:trHeight w:val="300"/>
        </w:trPr>
        <w:tc>
          <w:tcPr>
            <w:tcW w:w="9067" w:type="dxa"/>
          </w:tcPr>
          <w:p w14:paraId="25823AE8" w14:textId="58169A67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briga o vidljivosti projekta sukladno pravilima Poziva</w:t>
            </w:r>
          </w:p>
        </w:tc>
      </w:tr>
      <w:tr w:rsidR="00475FC0" w14:paraId="3208BA50" w14:textId="77777777" w:rsidTr="00293E1E">
        <w:trPr>
          <w:trHeight w:val="877"/>
        </w:trPr>
        <w:tc>
          <w:tcPr>
            <w:tcW w:w="9067" w:type="dxa"/>
          </w:tcPr>
          <w:p w14:paraId="08AA408C" w14:textId="1FCE51DC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organizacija kompletnog sustava za dokumentiranje projekta (</w:t>
            </w:r>
            <w:proofErr w:type="spellStart"/>
            <w:r w:rsidRPr="00D629FA">
              <w:rPr>
                <w:rFonts w:eastAsia="Calibri" w:cs="Arial"/>
                <w:bCs/>
              </w:rPr>
              <w:t>document</w:t>
            </w:r>
            <w:proofErr w:type="spellEnd"/>
            <w:r w:rsidRPr="00D629FA">
              <w:rPr>
                <w:rFonts w:eastAsia="Calibri" w:cs="Arial"/>
                <w:bCs/>
              </w:rPr>
              <w:t xml:space="preserve"> management) u cloud prostoru te redovito ažuriranje dokumentacije u sustavu</w:t>
            </w:r>
          </w:p>
        </w:tc>
      </w:tr>
      <w:tr w:rsidR="00475FC0" w14:paraId="45491CC7" w14:textId="77777777" w:rsidTr="00293E1E">
        <w:trPr>
          <w:trHeight w:val="288"/>
        </w:trPr>
        <w:tc>
          <w:tcPr>
            <w:tcW w:w="9067" w:type="dxa"/>
          </w:tcPr>
          <w:p w14:paraId="2887CDD9" w14:textId="6A2C4706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komunikacija s revizorom u postupku verifikacije projektnih troškova</w:t>
            </w:r>
          </w:p>
        </w:tc>
      </w:tr>
      <w:tr w:rsidR="00475FC0" w14:paraId="2C36952D" w14:textId="77777777" w:rsidTr="00293E1E">
        <w:trPr>
          <w:trHeight w:val="589"/>
        </w:trPr>
        <w:tc>
          <w:tcPr>
            <w:tcW w:w="9067" w:type="dxa"/>
          </w:tcPr>
          <w:p w14:paraId="1D3CA3FE" w14:textId="58FBE9BD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pružanje stručnih inputa prilikom pripreme i provedbe nabava u dijelu izrade tehničkih specifikacija i opisa posla</w:t>
            </w:r>
          </w:p>
        </w:tc>
      </w:tr>
      <w:tr w:rsidR="00475FC0" w14:paraId="1F0950FD" w14:textId="77777777" w:rsidTr="00293E1E">
        <w:trPr>
          <w:trHeight w:val="877"/>
        </w:trPr>
        <w:tc>
          <w:tcPr>
            <w:tcW w:w="9067" w:type="dxa"/>
          </w:tcPr>
          <w:p w14:paraId="1FB5C16F" w14:textId="547E8E84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 xml:space="preserve">Praćenje provedbe ugovora o isporuci roba i usluga u dijelu kontrole usklađenosti outputa s ugovornim obvezama i </w:t>
            </w:r>
            <w:proofErr w:type="spellStart"/>
            <w:r w:rsidRPr="00D629FA">
              <w:rPr>
                <w:rFonts w:eastAsia="Calibri" w:cs="Arial"/>
                <w:bCs/>
              </w:rPr>
              <w:t>osigravanjem</w:t>
            </w:r>
            <w:proofErr w:type="spellEnd"/>
            <w:r w:rsidRPr="00D629FA">
              <w:rPr>
                <w:rFonts w:eastAsia="Calibri" w:cs="Arial"/>
                <w:bCs/>
              </w:rPr>
              <w:t xml:space="preserve"> potrebne razine kvalitete isporuka</w:t>
            </w:r>
          </w:p>
        </w:tc>
      </w:tr>
      <w:tr w:rsidR="00475FC0" w14:paraId="5210D7B6" w14:textId="77777777" w:rsidTr="00293E1E">
        <w:trPr>
          <w:trHeight w:val="877"/>
        </w:trPr>
        <w:tc>
          <w:tcPr>
            <w:tcW w:w="9067" w:type="dxa"/>
          </w:tcPr>
          <w:p w14:paraId="024B4866" w14:textId="41CF6B05" w:rsidR="00475FC0" w:rsidRPr="00D629FA" w:rsidRDefault="00475FC0" w:rsidP="00D629FA">
            <w:pPr>
              <w:rPr>
                <w:rFonts w:eastAsia="Calibri" w:cs="Arial"/>
                <w:bCs/>
              </w:rPr>
            </w:pPr>
            <w:r w:rsidRPr="00D629FA">
              <w:rPr>
                <w:rFonts w:eastAsia="Calibri" w:cs="Arial"/>
                <w:bCs/>
              </w:rPr>
              <w:t>Savjetovanje pri izmjenama ugovora o nabavi tijekom njegova trajanja, ukoliko se pojavi potreba za istima, te aktivno praćenje provedbe svih ugovora</w:t>
            </w:r>
          </w:p>
        </w:tc>
      </w:tr>
    </w:tbl>
    <w:p w14:paraId="57386DB8" w14:textId="50A13048" w:rsidR="00D629FA" w:rsidRPr="00D629FA" w:rsidRDefault="00D629FA" w:rsidP="00D629FA">
      <w:pPr>
        <w:rPr>
          <w:rFonts w:eastAsia="Calibri" w:cs="Arial"/>
          <w:bCs/>
        </w:rPr>
      </w:pPr>
    </w:p>
    <w:p w14:paraId="2AD60C5A" w14:textId="60A70CB3" w:rsidR="00D629FA" w:rsidRDefault="00D629FA" w:rsidP="0009157F">
      <w:pPr>
        <w:jc w:val="both"/>
        <w:rPr>
          <w:rFonts w:eastAsia="Calibri" w:cs="Arial"/>
          <w:bCs/>
        </w:rPr>
      </w:pPr>
      <w:r w:rsidRPr="00D629FA">
        <w:rPr>
          <w:rFonts w:eastAsia="Calibri" w:cs="Arial"/>
          <w:bCs/>
        </w:rPr>
        <w:t xml:space="preserve">Sukladno odobrenom planu nabave, tijekom provedbe projekta provodi se ukupno 22 postupka (uključujući predmetni postupak nabave). U trenutku objave predmetnog Poziva, nije proveden niti jedan postupak nabave (1 postupak u provedbi). </w:t>
      </w:r>
    </w:p>
    <w:p w14:paraId="039F1E3A" w14:textId="472BECB4" w:rsidR="00F616DD" w:rsidRDefault="00F616DD" w:rsidP="00D629FA">
      <w:pPr>
        <w:rPr>
          <w:rFonts w:eastAsia="Calibri" w:cs="Arial"/>
          <w:bCs/>
        </w:rPr>
      </w:pPr>
    </w:p>
    <w:p w14:paraId="7B2487E2" w14:textId="7BD09D4F" w:rsidR="00F616DD" w:rsidRDefault="00F616DD" w:rsidP="00D629FA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Okvirno raspored nabava je kako slijedi: </w:t>
      </w:r>
    </w:p>
    <w:p w14:paraId="0D2FE8BF" w14:textId="0200A369" w:rsidR="00F616DD" w:rsidRDefault="00F616DD" w:rsidP="00D629FA">
      <w:pPr>
        <w:rPr>
          <w:rFonts w:eastAsia="Calibri" w:cs="Arial"/>
          <w:bCs/>
        </w:rPr>
      </w:pPr>
    </w:p>
    <w:tbl>
      <w:tblPr>
        <w:tblW w:w="9013" w:type="dxa"/>
        <w:tblLook w:val="04A0" w:firstRow="1" w:lastRow="0" w:firstColumn="1" w:lastColumn="0" w:noHBand="0" w:noVBand="1"/>
      </w:tblPr>
      <w:tblGrid>
        <w:gridCol w:w="625"/>
        <w:gridCol w:w="1106"/>
        <w:gridCol w:w="1583"/>
        <w:gridCol w:w="1741"/>
        <w:gridCol w:w="1584"/>
        <w:gridCol w:w="1108"/>
        <w:gridCol w:w="1266"/>
      </w:tblGrid>
      <w:tr w:rsidR="00F616DD" w:rsidRPr="00F616DD" w14:paraId="666213C4" w14:textId="77777777" w:rsidTr="00F616DD">
        <w:trPr>
          <w:trHeight w:val="872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735D4D79" w14:textId="77777777" w:rsidR="00F616DD" w:rsidRPr="00F616DD" w:rsidRDefault="00F616DD" w:rsidP="00F616D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5D72092D" w14:textId="77777777" w:rsidR="00F616DD" w:rsidRPr="00F616DD" w:rsidRDefault="00F616DD" w:rsidP="00F616D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Oznaka nabave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7AD6E4AD" w14:textId="77777777" w:rsidR="00F616DD" w:rsidRPr="00F616DD" w:rsidRDefault="00F616DD" w:rsidP="00F616D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Naziv nabave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210FBF2E" w14:textId="77777777" w:rsidR="00F616DD" w:rsidRPr="00F616DD" w:rsidRDefault="00F616DD" w:rsidP="00F616D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Naručitelj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742604C6" w14:textId="77777777" w:rsidR="00F616DD" w:rsidRPr="00F616DD" w:rsidRDefault="00F616DD" w:rsidP="00F616D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7192218E" w14:textId="77777777" w:rsidR="00F616DD" w:rsidRPr="00F616DD" w:rsidRDefault="00F616DD" w:rsidP="00F616D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Planirani početak postupka nabave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35E67D4F" w14:textId="77777777" w:rsidR="00F616DD" w:rsidRPr="00F616DD" w:rsidRDefault="00F616DD" w:rsidP="00F616D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Procijenjena vrijednost (HRK)</w:t>
            </w:r>
          </w:p>
        </w:tc>
      </w:tr>
      <w:tr w:rsidR="00F616DD" w:rsidRPr="00F616DD" w14:paraId="1F9F1EA2" w14:textId="77777777" w:rsidTr="00F616DD">
        <w:trPr>
          <w:trHeight w:val="115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D3EC3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DA2A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56BB0" w14:textId="44139B8A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Ekstruder za izradu granulata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(U fazi Odluke o odabiru)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0E6F4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8D1F8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obveznom objavom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BE655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1.10.2021.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340F" w14:textId="00BB1B87" w:rsidR="00F616DD" w:rsidRPr="00F616DD" w:rsidRDefault="00475FC0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2.735.000,00</w:t>
            </w:r>
          </w:p>
        </w:tc>
      </w:tr>
      <w:tr w:rsidR="00F616DD" w:rsidRPr="00F616DD" w14:paraId="7AB00F8E" w14:textId="77777777" w:rsidTr="00F616DD">
        <w:trPr>
          <w:trHeight w:val="1267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16DAF" w14:textId="35A9B8D3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9A152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EC352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Laboratorijska oprema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F648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00BAA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C34A1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1.12.2021.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DE7BC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200.000,00</w:t>
            </w:r>
          </w:p>
        </w:tc>
      </w:tr>
      <w:tr w:rsidR="00F616DD" w:rsidRPr="00F616DD" w14:paraId="50F7B681" w14:textId="77777777" w:rsidTr="00F616DD">
        <w:trPr>
          <w:trHeight w:val="157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A8F4" w14:textId="4A633CA8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B87EA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9C55E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Računalo za obradu podataka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58B2E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929FE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CDDA6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AD270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32.200,00</w:t>
            </w:r>
          </w:p>
        </w:tc>
      </w:tr>
      <w:tr w:rsidR="00F616DD" w:rsidRPr="00F616DD" w14:paraId="54055ACE" w14:textId="77777777" w:rsidTr="00F616DD">
        <w:trPr>
          <w:trHeight w:val="135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145F5" w14:textId="09ABA29F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5B2B3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5700C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Mikroskop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828F1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78251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F0BF5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1.11.2021.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51077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48.600,00</w:t>
            </w:r>
          </w:p>
        </w:tc>
      </w:tr>
      <w:tr w:rsidR="00F616DD" w:rsidRPr="00F616DD" w14:paraId="2B7D3708" w14:textId="77777777" w:rsidTr="00F616DD">
        <w:trPr>
          <w:trHeight w:val="138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965CD" w14:textId="10DAE629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368EE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D24E4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Komora za starenje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CFBAD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FBBD8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61675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1.11.2021.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F23CE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227.500,00</w:t>
            </w:r>
          </w:p>
        </w:tc>
      </w:tr>
      <w:tr w:rsidR="00F616DD" w:rsidRPr="00F616DD" w14:paraId="599A2E21" w14:textId="77777777" w:rsidTr="00F616DD">
        <w:trPr>
          <w:trHeight w:val="139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F34A" w14:textId="31567DAA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64DC1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19FEF" w14:textId="750BA4AF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Nabava repromaterijala/ sirovine za testiranje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(Ugovoreno)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15DDB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A5FB8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obveznom objavom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6E26C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CB9A2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980.000,00</w:t>
            </w:r>
          </w:p>
        </w:tc>
      </w:tr>
      <w:tr w:rsidR="00F616DD" w:rsidRPr="00F616DD" w14:paraId="78608915" w14:textId="77777777" w:rsidTr="00F616DD">
        <w:trPr>
          <w:trHeight w:val="136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87D43" w14:textId="2423C81C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A1B94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C4FF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Vanjska usluga agronoma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2485F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F474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DE4FB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70B7C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30.000,00</w:t>
            </w:r>
          </w:p>
        </w:tc>
      </w:tr>
      <w:tr w:rsidR="00F616DD" w:rsidRPr="00F616DD" w14:paraId="38E82DAF" w14:textId="77777777" w:rsidTr="00F616DD">
        <w:trPr>
          <w:trHeight w:val="124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7E058" w14:textId="77CCEB08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513B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7264A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Pomoćni materijali, alati za testiranje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4C74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SVEUČILIŠTE U ZAGREBU, FAKULTET STROJARSTVA I BRODOGRADNJE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D4223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08A9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1.12.2021.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05ACC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117.750,00</w:t>
            </w:r>
          </w:p>
        </w:tc>
      </w:tr>
      <w:tr w:rsidR="00F616DD" w:rsidRPr="00F616DD" w14:paraId="0D4EE7DF" w14:textId="77777777" w:rsidTr="00F616DD">
        <w:trPr>
          <w:trHeight w:val="135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69CB" w14:textId="2E75895D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054B4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E73EE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Vanjska usluga spektralne analize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232B9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SVEUČILIŠTE U ZAGREBU, FAKULTET STROJARSTVA I BRODOGRADNJE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0C50F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4D931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EB266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70.000,00</w:t>
            </w:r>
          </w:p>
        </w:tc>
      </w:tr>
      <w:tr w:rsidR="00F616DD" w:rsidRPr="00F616DD" w14:paraId="734BC96F" w14:textId="77777777" w:rsidTr="00F616DD">
        <w:trPr>
          <w:trHeight w:val="175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1062" w14:textId="64FB239B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B462F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056F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Vanjska usluga DMA analize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4E5B3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SVEUČILIŠTE U ZAGREBU, FAKULTET STROJARSTVA I BRODOGRADNJE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CBEB2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C951F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AAC96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68.460,00</w:t>
            </w:r>
          </w:p>
        </w:tc>
      </w:tr>
      <w:tr w:rsidR="00F616DD" w:rsidRPr="00F616DD" w14:paraId="3FA4CE2E" w14:textId="77777777" w:rsidTr="00F616DD">
        <w:trPr>
          <w:trHeight w:val="139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BAA73" w14:textId="23FFA1E3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6D2D2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2A259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Vanjska usluga tehničkog savjetovanja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B04ED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SVEUČILIŠTE U ZAGREBU, FAKULTET STROJARSTVA I BRODOGRADNJE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8D4B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ZJN - otvoreni postupak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51113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74CA9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315.000,00</w:t>
            </w:r>
          </w:p>
        </w:tc>
      </w:tr>
      <w:tr w:rsidR="00F616DD" w:rsidRPr="00F616DD" w14:paraId="3495583E" w14:textId="77777777" w:rsidTr="00F616DD">
        <w:trPr>
          <w:trHeight w:val="192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68BEF" w14:textId="0C2CD671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325C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CB727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Vanjska usluga izrade sustava za automatizaciju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B4308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9160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obveznom objavom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F94C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1.4.2022.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A11B1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455.000,00</w:t>
            </w:r>
          </w:p>
        </w:tc>
      </w:tr>
      <w:tr w:rsidR="00F616DD" w:rsidRPr="00F616DD" w14:paraId="1C7CE6A3" w14:textId="77777777" w:rsidTr="00F616DD">
        <w:trPr>
          <w:trHeight w:val="138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7168D" w14:textId="3102CB9C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135C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89F17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Nabava repromaterijala za izradu prototipa rješenja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C1A23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36FF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C92B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4A865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350.000,00</w:t>
            </w:r>
          </w:p>
        </w:tc>
      </w:tr>
      <w:tr w:rsidR="00F616DD" w:rsidRPr="00F616DD" w14:paraId="479469E8" w14:textId="77777777" w:rsidTr="00F616DD">
        <w:trPr>
          <w:trHeight w:val="120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8BAAD" w14:textId="5504CA25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E7948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F9182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Savjetodavne usluge pri izradi funkcionalnog rješenja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DCD3D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SVEUČILIŠTE U ZAGREBU, FAKULTET STROJARSTVA I BRODOGRADNJE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79306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01C60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1.3.2023.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E2453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140.000,00</w:t>
            </w:r>
          </w:p>
        </w:tc>
      </w:tr>
      <w:tr w:rsidR="00F616DD" w:rsidRPr="00F616DD" w14:paraId="06DFC363" w14:textId="77777777" w:rsidTr="00F616DD">
        <w:trPr>
          <w:trHeight w:val="126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B662" w14:textId="2C6C5E09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4A3EC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151CE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Implementacija </w:t>
            </w:r>
            <w:proofErr w:type="spellStart"/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tehičkih</w:t>
            </w:r>
            <w:proofErr w:type="spellEnd"/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rješenja za automatizaciju proizvodnje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C00BC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50F46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7EEAF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1.6.2023.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234C9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315.000,00</w:t>
            </w:r>
          </w:p>
        </w:tc>
      </w:tr>
      <w:tr w:rsidR="00F616DD" w:rsidRPr="00F616DD" w14:paraId="615EA459" w14:textId="77777777" w:rsidTr="00F616DD">
        <w:trPr>
          <w:trHeight w:val="138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76190" w14:textId="0D75ADCC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BEC9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1E6F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Savjetodavne usluge u izradi patentne prijave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618DA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4207C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F2537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1.6.2023.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BF765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</w:tr>
      <w:tr w:rsidR="00F616DD" w:rsidRPr="00F616DD" w14:paraId="59A8A244" w14:textId="77777777" w:rsidTr="007C2593">
        <w:trPr>
          <w:trHeight w:val="112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3CF30" w14:textId="6D76184C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02AA6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0DD5A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Sudjelovanje na međunarodnim konferencijama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87E4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SVEUČILIŠTE U ZAGREBU, FAKULTET STROJARSTVA I BRODOGRADNJE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0D5DC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94CFC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C0494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</w:tr>
      <w:tr w:rsidR="00F616DD" w:rsidRPr="00F616DD" w14:paraId="41A4761F" w14:textId="77777777" w:rsidTr="00F616DD">
        <w:trPr>
          <w:trHeight w:val="123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5F853" w14:textId="18566CE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45807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1D025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Diseminacija rezultata istraživanja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AFFD8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SVEUČILIŠTE U ZAGREBU, FAKULTET STROJARSTVA I BRODOGRADNJE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EA97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59CFC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2E553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30.000,00</w:t>
            </w:r>
          </w:p>
        </w:tc>
      </w:tr>
      <w:tr w:rsidR="00F616DD" w:rsidRPr="00F616DD" w14:paraId="5F1047CC" w14:textId="77777777" w:rsidTr="007C2593">
        <w:trPr>
          <w:trHeight w:val="140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45C5A" w14:textId="619C6F83" w:rsidR="00F616DD" w:rsidRPr="00F616DD" w:rsidRDefault="00475FC0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7C16A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3B562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Upravljanje projektom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23B14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15D3D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obveznom objavom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2A103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1.9.2021.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A154F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666.000,00</w:t>
            </w:r>
          </w:p>
        </w:tc>
      </w:tr>
      <w:tr w:rsidR="00F616DD" w:rsidRPr="00F616DD" w14:paraId="7CF1169F" w14:textId="77777777" w:rsidTr="00F616DD">
        <w:trPr>
          <w:trHeight w:val="133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3D9F" w14:textId="3F11142C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BAE71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E8EF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Revizija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80864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6D001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6A84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1.6.2023.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41AB3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</w:tr>
      <w:tr w:rsidR="00F616DD" w:rsidRPr="00F616DD" w14:paraId="6A92E097" w14:textId="77777777" w:rsidTr="007C2593">
        <w:trPr>
          <w:trHeight w:val="121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DCA8C" w14:textId="5DAE2E2A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  <w:r w:rsidR="00475FC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02F34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JN0311-022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CFA2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Vanjske usluge promidžbe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4980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DRVOPLAST, dioničko društvo za proizvodnju namještaja, plastičnih profila i kartonske ambalaže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9908F" w14:textId="77777777" w:rsidR="00F616DD" w:rsidRPr="00F616DD" w:rsidRDefault="00F616DD" w:rsidP="00F616DD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NOJN - postupak nabave s jednim ponuditeljem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BAEB8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1.9.2022.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F6F05" w14:textId="77777777" w:rsidR="00F616DD" w:rsidRPr="00F616DD" w:rsidRDefault="00F616DD" w:rsidP="00F616DD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16D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20.000,00</w:t>
            </w:r>
          </w:p>
        </w:tc>
      </w:tr>
    </w:tbl>
    <w:p w14:paraId="70A4B0BC" w14:textId="77777777" w:rsidR="00D629FA" w:rsidRPr="00D629FA" w:rsidRDefault="00D629FA" w:rsidP="00D629FA">
      <w:pPr>
        <w:rPr>
          <w:rFonts w:eastAsia="Calibri" w:cs="Arial"/>
          <w:bCs/>
        </w:rPr>
      </w:pPr>
    </w:p>
    <w:p w14:paraId="7990ACE3" w14:textId="0AB979A2" w:rsidR="007C2593" w:rsidRDefault="00D629FA" w:rsidP="007C2593">
      <w:pPr>
        <w:jc w:val="both"/>
        <w:rPr>
          <w:rFonts w:eastAsia="Calibri" w:cs="Arial"/>
          <w:bCs/>
        </w:rPr>
      </w:pPr>
      <w:r w:rsidRPr="00D629FA">
        <w:rPr>
          <w:rFonts w:eastAsia="Calibri" w:cs="Arial"/>
          <w:bCs/>
        </w:rPr>
        <w:t>Među navedenim</w:t>
      </w:r>
      <w:r w:rsidR="007C2593">
        <w:rPr>
          <w:rFonts w:eastAsia="Calibri" w:cs="Arial"/>
          <w:bCs/>
        </w:rPr>
        <w:t>a</w:t>
      </w:r>
      <w:r w:rsidRPr="00D629FA">
        <w:rPr>
          <w:rFonts w:eastAsia="Calibri" w:cs="Arial"/>
          <w:bCs/>
        </w:rPr>
        <w:t xml:space="preserve"> </w:t>
      </w:r>
      <w:r w:rsidR="007C2593">
        <w:rPr>
          <w:rFonts w:eastAsia="Calibri" w:cs="Arial"/>
          <w:bCs/>
        </w:rPr>
        <w:t>su</w:t>
      </w:r>
      <w:r w:rsidRPr="00D629FA">
        <w:rPr>
          <w:rFonts w:eastAsia="Calibri" w:cs="Arial"/>
          <w:bCs/>
        </w:rPr>
        <w:t xml:space="preserve"> </w:t>
      </w:r>
      <w:r w:rsidR="007C2593">
        <w:rPr>
          <w:rFonts w:eastAsia="Calibri" w:cs="Arial"/>
          <w:bCs/>
        </w:rPr>
        <w:t>4</w:t>
      </w:r>
      <w:r w:rsidRPr="00D629FA">
        <w:rPr>
          <w:rFonts w:eastAsia="Calibri" w:cs="Arial"/>
          <w:bCs/>
        </w:rPr>
        <w:t xml:space="preserve"> postupaka nabave s obaveznom objavom (NOJN), minimalno 2 otvorena postupka nabave male vrijednosti (ZJN), tj. broj otvorenih postupaka može biti veći uslijed spajanja nabava na institucionalnoj razini.</w:t>
      </w:r>
      <w:r w:rsidR="007C2593" w:rsidRPr="007C2593">
        <w:rPr>
          <w:rFonts w:eastAsia="Calibri" w:cs="Arial"/>
          <w:bCs/>
        </w:rPr>
        <w:t xml:space="preserve"> </w:t>
      </w:r>
      <w:r w:rsidR="007C2593">
        <w:rPr>
          <w:rFonts w:eastAsia="Calibri" w:cs="Arial"/>
          <w:bCs/>
        </w:rPr>
        <w:t xml:space="preserve">Zbog eventualnih usklađivanja s institucionalnim planom nabave (godišnjim planom nabava FSB-a) moguće je da će dio nabava inicijalno predviđenih kao jednostavne nabave, biti objedinjene i time ući u postupak nabave prema ZJN-u. Ponuditelj je dužan pružiti podršku partneru u pripremi i provedbi tih nabava, neovisno o vrsti postupka. </w:t>
      </w:r>
    </w:p>
    <w:p w14:paraId="05E2CEEE" w14:textId="77777777" w:rsidR="007C2593" w:rsidRDefault="007C2593" w:rsidP="007C2593">
      <w:pPr>
        <w:jc w:val="both"/>
        <w:rPr>
          <w:rFonts w:eastAsia="Calibri" w:cs="Arial"/>
          <w:bCs/>
        </w:rPr>
      </w:pPr>
    </w:p>
    <w:p w14:paraId="3D478A8E" w14:textId="089CE3FB" w:rsidR="007C2593" w:rsidRDefault="007C2593" w:rsidP="00B436DF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Datumi početaka nabava su indikativni i ovise o dinamici istraživačkih aktivnosti. </w:t>
      </w:r>
    </w:p>
    <w:p w14:paraId="411CCACD" w14:textId="69294385" w:rsidR="007C2593" w:rsidRDefault="007C2593" w:rsidP="00B436DF">
      <w:pPr>
        <w:jc w:val="both"/>
        <w:rPr>
          <w:rFonts w:eastAsia="Calibri" w:cs="Arial"/>
          <w:bCs/>
        </w:rPr>
      </w:pPr>
    </w:p>
    <w:p w14:paraId="0297671D" w14:textId="3BA04EDD" w:rsidR="002752B9" w:rsidRDefault="00475FC0" w:rsidP="00B436DF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Prilikom provedbe projekta Ponuditelj će koristiti neku od međunarodno </w:t>
      </w:r>
      <w:r w:rsidR="006B051F">
        <w:rPr>
          <w:rFonts w:eastAsia="Calibri" w:cs="Arial"/>
          <w:bCs/>
        </w:rPr>
        <w:t>poznatih</w:t>
      </w:r>
      <w:r>
        <w:rPr>
          <w:rFonts w:eastAsia="Calibri" w:cs="Arial"/>
          <w:bCs/>
        </w:rPr>
        <w:t xml:space="preserve"> metoda, alata i tehnika upravljanja projektima (</w:t>
      </w:r>
      <w:r w:rsidR="006B051F">
        <w:rPr>
          <w:rFonts w:eastAsia="Calibri" w:cs="Arial"/>
          <w:bCs/>
        </w:rPr>
        <w:t xml:space="preserve">PMI/PMBOK, IPMA, PRINCE2, </w:t>
      </w:r>
      <w:proofErr w:type="spellStart"/>
      <w:r w:rsidR="006B051F">
        <w:rPr>
          <w:rFonts w:eastAsia="Calibri" w:cs="Arial"/>
          <w:bCs/>
        </w:rPr>
        <w:t>PRiSM</w:t>
      </w:r>
      <w:proofErr w:type="spellEnd"/>
      <w:r w:rsidR="006B051F">
        <w:rPr>
          <w:rFonts w:eastAsia="Calibri" w:cs="Arial"/>
          <w:bCs/>
        </w:rPr>
        <w:t>, PM</w:t>
      </w:r>
      <w:r w:rsidR="006B051F" w:rsidRPr="006B051F">
        <w:rPr>
          <w:rFonts w:eastAsia="Calibri" w:cs="Arial"/>
          <w:bCs/>
          <w:vertAlign w:val="superscript"/>
        </w:rPr>
        <w:t>2</w:t>
      </w:r>
      <w:r w:rsidR="006B051F">
        <w:rPr>
          <w:rFonts w:eastAsia="Calibri" w:cs="Arial"/>
          <w:bCs/>
        </w:rPr>
        <w:t xml:space="preserve"> ili jednakovrijedno) te će u suradnji s Naručiteljem razraditi obrasce koji će se koristiti prilikom praćenja: rokova, kvalitete, rizika, proračuna, promjena i komunikacije u projektu. </w:t>
      </w:r>
    </w:p>
    <w:p w14:paraId="6B622943" w14:textId="4CBBE1BF" w:rsidR="001544FE" w:rsidRPr="001544FE" w:rsidRDefault="001544FE" w:rsidP="001544FE"/>
    <w:sectPr w:rsidR="001544FE" w:rsidRPr="001544FE" w:rsidSect="003C3D3D">
      <w:headerReference w:type="default" r:id="rId8"/>
      <w:pgSz w:w="11900" w:h="16840"/>
      <w:pgMar w:top="1417" w:right="1417" w:bottom="1417" w:left="1417" w:header="2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C627" w14:textId="77777777" w:rsidR="0036434F" w:rsidRDefault="0036434F" w:rsidP="00FE44E7">
      <w:r>
        <w:separator/>
      </w:r>
    </w:p>
  </w:endnote>
  <w:endnote w:type="continuationSeparator" w:id="0">
    <w:p w14:paraId="7D1AC0ED" w14:textId="77777777" w:rsidR="0036434F" w:rsidRDefault="0036434F" w:rsidP="00FE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0932" w14:textId="77777777" w:rsidR="0036434F" w:rsidRDefault="0036434F" w:rsidP="00FE44E7">
      <w:r>
        <w:separator/>
      </w:r>
    </w:p>
  </w:footnote>
  <w:footnote w:type="continuationSeparator" w:id="0">
    <w:p w14:paraId="65D9A2D4" w14:textId="77777777" w:rsidR="0036434F" w:rsidRDefault="0036434F" w:rsidP="00FE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A9E" w14:textId="77777777" w:rsidR="00341843" w:rsidRPr="00C906CA" w:rsidRDefault="00341843">
    <w:pPr>
      <w:pStyle w:val="Zaglavlje"/>
      <w:rPr>
        <w:lang w:val="en-GB"/>
      </w:rPr>
    </w:pPr>
  </w:p>
  <w:tbl>
    <w:tblPr>
      <w:tblStyle w:val="Reetkatablice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341843" w:rsidRPr="00C906CA" w14:paraId="19772C73" w14:textId="77777777" w:rsidTr="00306366">
      <w:tc>
        <w:tcPr>
          <w:tcW w:w="3361" w:type="dxa"/>
        </w:tcPr>
        <w:p w14:paraId="4FE640A6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67B2C50C" wp14:editId="503E5851">
                <wp:extent cx="1907318" cy="627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91" cy="649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4F4B06CE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02CEF80B" wp14:editId="590E5E97">
                <wp:extent cx="2200441" cy="87187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311" cy="895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0C50F943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174FA139" wp14:editId="64E8D46F">
                <wp:extent cx="1254641" cy="1047106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283" cy="106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214573" w14:textId="77777777" w:rsidR="00341843" w:rsidRPr="00C906CA" w:rsidRDefault="00341843">
    <w:pPr>
      <w:pStyle w:val="Zaglavlj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3B"/>
    <w:multiLevelType w:val="hybridMultilevel"/>
    <w:tmpl w:val="60B8C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EF6"/>
    <w:multiLevelType w:val="hybridMultilevel"/>
    <w:tmpl w:val="286CFCA0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7BC"/>
    <w:multiLevelType w:val="hybridMultilevel"/>
    <w:tmpl w:val="AA228FDC"/>
    <w:lvl w:ilvl="0" w:tplc="8C44858E">
      <w:start w:val="1"/>
      <w:numFmt w:val="bullet"/>
      <w:pStyle w:val="Bullets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D7725"/>
    <w:multiLevelType w:val="hybridMultilevel"/>
    <w:tmpl w:val="0D6AE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65D"/>
    <w:multiLevelType w:val="multilevel"/>
    <w:tmpl w:val="3B40675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F5496" w:themeColor="accent1" w:themeShade="BF"/>
      </w:rPr>
    </w:lvl>
  </w:abstractNum>
  <w:abstractNum w:abstractNumId="5" w15:restartNumberingAfterBreak="0">
    <w:nsid w:val="17AC4EAF"/>
    <w:multiLevelType w:val="hybridMultilevel"/>
    <w:tmpl w:val="8CD65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A37"/>
    <w:multiLevelType w:val="hybridMultilevel"/>
    <w:tmpl w:val="F9921B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C3F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32F8"/>
    <w:multiLevelType w:val="hybridMultilevel"/>
    <w:tmpl w:val="007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53920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04F96"/>
    <w:multiLevelType w:val="hybridMultilevel"/>
    <w:tmpl w:val="44B8C56E"/>
    <w:lvl w:ilvl="0" w:tplc="8E08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2AA9"/>
    <w:multiLevelType w:val="multilevel"/>
    <w:tmpl w:val="593E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7077FC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5BEF"/>
    <w:multiLevelType w:val="hybridMultilevel"/>
    <w:tmpl w:val="40FA2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6FCE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610D7"/>
    <w:multiLevelType w:val="hybridMultilevel"/>
    <w:tmpl w:val="925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D7053"/>
    <w:multiLevelType w:val="hybridMultilevel"/>
    <w:tmpl w:val="F7C61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B3202"/>
    <w:multiLevelType w:val="multilevel"/>
    <w:tmpl w:val="4F7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7165A"/>
    <w:multiLevelType w:val="hybridMultilevel"/>
    <w:tmpl w:val="262CC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4ABF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6469A"/>
    <w:multiLevelType w:val="hybridMultilevel"/>
    <w:tmpl w:val="7E0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30C5"/>
    <w:multiLevelType w:val="hybridMultilevel"/>
    <w:tmpl w:val="7428C35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3">
      <w:start w:val="1"/>
      <w:numFmt w:val="upperRoman"/>
      <w:lvlText w:val="%2."/>
      <w:lvlJc w:val="righ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7A6261"/>
    <w:multiLevelType w:val="multilevel"/>
    <w:tmpl w:val="593E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E6256"/>
    <w:multiLevelType w:val="hybridMultilevel"/>
    <w:tmpl w:val="08D87F48"/>
    <w:lvl w:ilvl="0" w:tplc="066A578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0319A3"/>
    <w:multiLevelType w:val="hybridMultilevel"/>
    <w:tmpl w:val="7702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F57C3"/>
    <w:multiLevelType w:val="hybridMultilevel"/>
    <w:tmpl w:val="E4F6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2B23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AC6B4B"/>
    <w:multiLevelType w:val="hybridMultilevel"/>
    <w:tmpl w:val="09B0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B9F"/>
    <w:multiLevelType w:val="hybridMultilevel"/>
    <w:tmpl w:val="D05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AB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C7C73"/>
    <w:multiLevelType w:val="multilevel"/>
    <w:tmpl w:val="4E3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4749BB"/>
    <w:multiLevelType w:val="hybridMultilevel"/>
    <w:tmpl w:val="BD2CB9AC"/>
    <w:lvl w:ilvl="0" w:tplc="6EA8B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276C4"/>
    <w:multiLevelType w:val="hybridMultilevel"/>
    <w:tmpl w:val="241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6235F"/>
    <w:multiLevelType w:val="hybridMultilevel"/>
    <w:tmpl w:val="3D4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6151D"/>
    <w:multiLevelType w:val="hybridMultilevel"/>
    <w:tmpl w:val="034EFFCC"/>
    <w:lvl w:ilvl="0" w:tplc="AE7C62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19"/>
  </w:num>
  <w:num w:numId="5">
    <w:abstractNumId w:val="16"/>
  </w:num>
  <w:num w:numId="6">
    <w:abstractNumId w:val="7"/>
  </w:num>
  <w:num w:numId="7">
    <w:abstractNumId w:val="22"/>
  </w:num>
  <w:num w:numId="8">
    <w:abstractNumId w:val="1"/>
  </w:num>
  <w:num w:numId="9">
    <w:abstractNumId w:val="2"/>
  </w:num>
  <w:num w:numId="10">
    <w:abstractNumId w:val="9"/>
  </w:num>
  <w:num w:numId="11">
    <w:abstractNumId w:val="30"/>
  </w:num>
  <w:num w:numId="12">
    <w:abstractNumId w:val="34"/>
  </w:num>
  <w:num w:numId="13">
    <w:abstractNumId w:val="33"/>
  </w:num>
  <w:num w:numId="14">
    <w:abstractNumId w:val="20"/>
  </w:num>
  <w:num w:numId="15">
    <w:abstractNumId w:val="31"/>
  </w:num>
  <w:num w:numId="16">
    <w:abstractNumId w:val="6"/>
  </w:num>
  <w:num w:numId="17">
    <w:abstractNumId w:val="14"/>
  </w:num>
  <w:num w:numId="18">
    <w:abstractNumId w:val="0"/>
  </w:num>
  <w:num w:numId="19">
    <w:abstractNumId w:val="4"/>
  </w:num>
  <w:num w:numId="20">
    <w:abstractNumId w:val="11"/>
  </w:num>
  <w:num w:numId="21">
    <w:abstractNumId w:val="13"/>
  </w:num>
  <w:num w:numId="22">
    <w:abstractNumId w:val="32"/>
  </w:num>
  <w:num w:numId="23">
    <w:abstractNumId w:val="24"/>
  </w:num>
  <w:num w:numId="24">
    <w:abstractNumId w:val="18"/>
  </w:num>
  <w:num w:numId="25">
    <w:abstractNumId w:val="29"/>
  </w:num>
  <w:num w:numId="26">
    <w:abstractNumId w:val="3"/>
  </w:num>
  <w:num w:numId="27">
    <w:abstractNumId w:val="28"/>
  </w:num>
  <w:num w:numId="28">
    <w:abstractNumId w:val="12"/>
  </w:num>
  <w:num w:numId="29">
    <w:abstractNumId w:val="15"/>
  </w:num>
  <w:num w:numId="30">
    <w:abstractNumId w:val="17"/>
  </w:num>
  <w:num w:numId="31">
    <w:abstractNumId w:val="21"/>
  </w:num>
  <w:num w:numId="32">
    <w:abstractNumId w:val="26"/>
  </w:num>
  <w:num w:numId="33">
    <w:abstractNumId w:val="8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7"/>
    <w:rsid w:val="00000722"/>
    <w:rsid w:val="00004DAC"/>
    <w:rsid w:val="0001003C"/>
    <w:rsid w:val="00013F58"/>
    <w:rsid w:val="00015F1E"/>
    <w:rsid w:val="00016B77"/>
    <w:rsid w:val="00026921"/>
    <w:rsid w:val="00044BD3"/>
    <w:rsid w:val="00047CDB"/>
    <w:rsid w:val="00053F8D"/>
    <w:rsid w:val="000548FE"/>
    <w:rsid w:val="00072079"/>
    <w:rsid w:val="00090890"/>
    <w:rsid w:val="0009157F"/>
    <w:rsid w:val="00091CCC"/>
    <w:rsid w:val="000949F2"/>
    <w:rsid w:val="00095A1E"/>
    <w:rsid w:val="000A74F3"/>
    <w:rsid w:val="000B0FF5"/>
    <w:rsid w:val="000C3AE2"/>
    <w:rsid w:val="000C53B4"/>
    <w:rsid w:val="000C6AF3"/>
    <w:rsid w:val="000D0982"/>
    <w:rsid w:val="000D0B37"/>
    <w:rsid w:val="000F0DD0"/>
    <w:rsid w:val="000F6755"/>
    <w:rsid w:val="00101E30"/>
    <w:rsid w:val="001154B6"/>
    <w:rsid w:val="00116409"/>
    <w:rsid w:val="0012474C"/>
    <w:rsid w:val="00143F88"/>
    <w:rsid w:val="00147A2E"/>
    <w:rsid w:val="00150252"/>
    <w:rsid w:val="00153F05"/>
    <w:rsid w:val="001544FE"/>
    <w:rsid w:val="00160909"/>
    <w:rsid w:val="00175E8E"/>
    <w:rsid w:val="00176147"/>
    <w:rsid w:val="00190858"/>
    <w:rsid w:val="00191EB0"/>
    <w:rsid w:val="001974CB"/>
    <w:rsid w:val="001A39D7"/>
    <w:rsid w:val="001B2CF6"/>
    <w:rsid w:val="001B532A"/>
    <w:rsid w:val="001B53AA"/>
    <w:rsid w:val="001C3564"/>
    <w:rsid w:val="001C79EC"/>
    <w:rsid w:val="001D2966"/>
    <w:rsid w:val="001D5A10"/>
    <w:rsid w:val="001D6319"/>
    <w:rsid w:val="001E5016"/>
    <w:rsid w:val="001F7263"/>
    <w:rsid w:val="0020496F"/>
    <w:rsid w:val="00212514"/>
    <w:rsid w:val="0022612A"/>
    <w:rsid w:val="00230014"/>
    <w:rsid w:val="0023402E"/>
    <w:rsid w:val="00237568"/>
    <w:rsid w:val="00243C79"/>
    <w:rsid w:val="002464A1"/>
    <w:rsid w:val="00247C9D"/>
    <w:rsid w:val="00251F1F"/>
    <w:rsid w:val="00257953"/>
    <w:rsid w:val="00274A60"/>
    <w:rsid w:val="002752B9"/>
    <w:rsid w:val="00285585"/>
    <w:rsid w:val="00285650"/>
    <w:rsid w:val="002878DA"/>
    <w:rsid w:val="00293E1E"/>
    <w:rsid w:val="002951EF"/>
    <w:rsid w:val="002B2F4D"/>
    <w:rsid w:val="002C07B9"/>
    <w:rsid w:val="002D004C"/>
    <w:rsid w:val="002D043E"/>
    <w:rsid w:val="002D3B50"/>
    <w:rsid w:val="002D5D23"/>
    <w:rsid w:val="002E48EF"/>
    <w:rsid w:val="002E79BD"/>
    <w:rsid w:val="002F0034"/>
    <w:rsid w:val="00306366"/>
    <w:rsid w:val="00310AF6"/>
    <w:rsid w:val="0031789F"/>
    <w:rsid w:val="00323465"/>
    <w:rsid w:val="003249C5"/>
    <w:rsid w:val="00331118"/>
    <w:rsid w:val="00335AB4"/>
    <w:rsid w:val="003374D0"/>
    <w:rsid w:val="003409B9"/>
    <w:rsid w:val="003415FC"/>
    <w:rsid w:val="00341843"/>
    <w:rsid w:val="00350C6C"/>
    <w:rsid w:val="003558CB"/>
    <w:rsid w:val="00360952"/>
    <w:rsid w:val="0036347D"/>
    <w:rsid w:val="003641E3"/>
    <w:rsid w:val="0036434F"/>
    <w:rsid w:val="003700FE"/>
    <w:rsid w:val="0037607B"/>
    <w:rsid w:val="00384F99"/>
    <w:rsid w:val="0039054A"/>
    <w:rsid w:val="003920CB"/>
    <w:rsid w:val="00392B87"/>
    <w:rsid w:val="0039320D"/>
    <w:rsid w:val="003A08BA"/>
    <w:rsid w:val="003A5973"/>
    <w:rsid w:val="003B569F"/>
    <w:rsid w:val="003B7A9E"/>
    <w:rsid w:val="003C3BE3"/>
    <w:rsid w:val="003C3D3D"/>
    <w:rsid w:val="003C49B8"/>
    <w:rsid w:val="003D25EE"/>
    <w:rsid w:val="003D2AA1"/>
    <w:rsid w:val="003D4379"/>
    <w:rsid w:val="003D56A4"/>
    <w:rsid w:val="003E2029"/>
    <w:rsid w:val="003E276C"/>
    <w:rsid w:val="003E6ED0"/>
    <w:rsid w:val="003F2BA5"/>
    <w:rsid w:val="003F3B68"/>
    <w:rsid w:val="00404944"/>
    <w:rsid w:val="00411626"/>
    <w:rsid w:val="0041334D"/>
    <w:rsid w:val="00416563"/>
    <w:rsid w:val="00424BB6"/>
    <w:rsid w:val="00424D90"/>
    <w:rsid w:val="004271E0"/>
    <w:rsid w:val="0043010F"/>
    <w:rsid w:val="004355FB"/>
    <w:rsid w:val="004367A3"/>
    <w:rsid w:val="00442640"/>
    <w:rsid w:val="004444E2"/>
    <w:rsid w:val="004459FA"/>
    <w:rsid w:val="00446C74"/>
    <w:rsid w:val="00446DA3"/>
    <w:rsid w:val="0045073D"/>
    <w:rsid w:val="00450C84"/>
    <w:rsid w:val="004636CE"/>
    <w:rsid w:val="0047093C"/>
    <w:rsid w:val="00475FC0"/>
    <w:rsid w:val="00477203"/>
    <w:rsid w:val="004A2027"/>
    <w:rsid w:val="004A56F6"/>
    <w:rsid w:val="004A589D"/>
    <w:rsid w:val="004A64C3"/>
    <w:rsid w:val="004A6871"/>
    <w:rsid w:val="004B40A5"/>
    <w:rsid w:val="004C2686"/>
    <w:rsid w:val="004D0499"/>
    <w:rsid w:val="004D25B1"/>
    <w:rsid w:val="004D6337"/>
    <w:rsid w:val="004E5891"/>
    <w:rsid w:val="004E656E"/>
    <w:rsid w:val="005132DF"/>
    <w:rsid w:val="005412D3"/>
    <w:rsid w:val="005439EA"/>
    <w:rsid w:val="0054601A"/>
    <w:rsid w:val="0055558B"/>
    <w:rsid w:val="00557FA5"/>
    <w:rsid w:val="00570731"/>
    <w:rsid w:val="00573B8E"/>
    <w:rsid w:val="00582344"/>
    <w:rsid w:val="00586E93"/>
    <w:rsid w:val="00594939"/>
    <w:rsid w:val="00594A95"/>
    <w:rsid w:val="005A3C08"/>
    <w:rsid w:val="005B11A0"/>
    <w:rsid w:val="005C1F4A"/>
    <w:rsid w:val="005C4051"/>
    <w:rsid w:val="005E2395"/>
    <w:rsid w:val="00612686"/>
    <w:rsid w:val="00615FA6"/>
    <w:rsid w:val="00617EC4"/>
    <w:rsid w:val="00633504"/>
    <w:rsid w:val="00636611"/>
    <w:rsid w:val="00655FDE"/>
    <w:rsid w:val="00662302"/>
    <w:rsid w:val="00671A6A"/>
    <w:rsid w:val="00675BD7"/>
    <w:rsid w:val="006901AA"/>
    <w:rsid w:val="00690BB9"/>
    <w:rsid w:val="00693D08"/>
    <w:rsid w:val="00695CAD"/>
    <w:rsid w:val="006A2CF5"/>
    <w:rsid w:val="006A385B"/>
    <w:rsid w:val="006A4152"/>
    <w:rsid w:val="006B051F"/>
    <w:rsid w:val="006B7AD5"/>
    <w:rsid w:val="006C0176"/>
    <w:rsid w:val="006C6EB2"/>
    <w:rsid w:val="006E21C7"/>
    <w:rsid w:val="006E5887"/>
    <w:rsid w:val="006E5E4E"/>
    <w:rsid w:val="006F2040"/>
    <w:rsid w:val="006F2BD8"/>
    <w:rsid w:val="00705031"/>
    <w:rsid w:val="0071410D"/>
    <w:rsid w:val="007142E3"/>
    <w:rsid w:val="007160A3"/>
    <w:rsid w:val="00717050"/>
    <w:rsid w:val="00717EB8"/>
    <w:rsid w:val="00721AF0"/>
    <w:rsid w:val="00726D0B"/>
    <w:rsid w:val="007502E2"/>
    <w:rsid w:val="007517B4"/>
    <w:rsid w:val="00766CE8"/>
    <w:rsid w:val="0077433E"/>
    <w:rsid w:val="007753B0"/>
    <w:rsid w:val="007813CF"/>
    <w:rsid w:val="00791C88"/>
    <w:rsid w:val="007920D5"/>
    <w:rsid w:val="00792D9B"/>
    <w:rsid w:val="0079491D"/>
    <w:rsid w:val="007976D1"/>
    <w:rsid w:val="007C2593"/>
    <w:rsid w:val="007C6AA0"/>
    <w:rsid w:val="007C74ED"/>
    <w:rsid w:val="007D176A"/>
    <w:rsid w:val="007E05ED"/>
    <w:rsid w:val="007E4B72"/>
    <w:rsid w:val="007E7A75"/>
    <w:rsid w:val="007F13F6"/>
    <w:rsid w:val="00817EC3"/>
    <w:rsid w:val="008269B9"/>
    <w:rsid w:val="00831D29"/>
    <w:rsid w:val="008334C1"/>
    <w:rsid w:val="0085774B"/>
    <w:rsid w:val="00864291"/>
    <w:rsid w:val="0087524D"/>
    <w:rsid w:val="00875332"/>
    <w:rsid w:val="00875CAB"/>
    <w:rsid w:val="0088046E"/>
    <w:rsid w:val="00887144"/>
    <w:rsid w:val="008A110B"/>
    <w:rsid w:val="008B3326"/>
    <w:rsid w:val="008C0156"/>
    <w:rsid w:val="008C153C"/>
    <w:rsid w:val="008C1681"/>
    <w:rsid w:val="008D5D69"/>
    <w:rsid w:val="008D78DE"/>
    <w:rsid w:val="008E044A"/>
    <w:rsid w:val="008E4F32"/>
    <w:rsid w:val="008F2CEA"/>
    <w:rsid w:val="008F49A7"/>
    <w:rsid w:val="0091028A"/>
    <w:rsid w:val="00917461"/>
    <w:rsid w:val="00925C7D"/>
    <w:rsid w:val="00926BA1"/>
    <w:rsid w:val="00937790"/>
    <w:rsid w:val="0094107A"/>
    <w:rsid w:val="00955AC9"/>
    <w:rsid w:val="00965876"/>
    <w:rsid w:val="009663F9"/>
    <w:rsid w:val="009734C4"/>
    <w:rsid w:val="00977E5E"/>
    <w:rsid w:val="009813C1"/>
    <w:rsid w:val="009911B7"/>
    <w:rsid w:val="0099522A"/>
    <w:rsid w:val="009B6AE4"/>
    <w:rsid w:val="009C43AE"/>
    <w:rsid w:val="009C78F3"/>
    <w:rsid w:val="009E19C6"/>
    <w:rsid w:val="009E518A"/>
    <w:rsid w:val="009F1E7C"/>
    <w:rsid w:val="009F6B63"/>
    <w:rsid w:val="00A11E74"/>
    <w:rsid w:val="00A11F78"/>
    <w:rsid w:val="00A15639"/>
    <w:rsid w:val="00A23177"/>
    <w:rsid w:val="00A23242"/>
    <w:rsid w:val="00A363E3"/>
    <w:rsid w:val="00A37FBE"/>
    <w:rsid w:val="00A430C6"/>
    <w:rsid w:val="00A45121"/>
    <w:rsid w:val="00A5461B"/>
    <w:rsid w:val="00A6677B"/>
    <w:rsid w:val="00A67A55"/>
    <w:rsid w:val="00A766F4"/>
    <w:rsid w:val="00A77BE3"/>
    <w:rsid w:val="00A85A2E"/>
    <w:rsid w:val="00A87F99"/>
    <w:rsid w:val="00A92D1F"/>
    <w:rsid w:val="00A94996"/>
    <w:rsid w:val="00A95633"/>
    <w:rsid w:val="00AA67BD"/>
    <w:rsid w:val="00AB3DE5"/>
    <w:rsid w:val="00AB63D5"/>
    <w:rsid w:val="00AC1104"/>
    <w:rsid w:val="00AC20BF"/>
    <w:rsid w:val="00AC4122"/>
    <w:rsid w:val="00AC494F"/>
    <w:rsid w:val="00AC55AD"/>
    <w:rsid w:val="00AE096D"/>
    <w:rsid w:val="00B0122D"/>
    <w:rsid w:val="00B04945"/>
    <w:rsid w:val="00B11F18"/>
    <w:rsid w:val="00B2085C"/>
    <w:rsid w:val="00B2575B"/>
    <w:rsid w:val="00B31639"/>
    <w:rsid w:val="00B34177"/>
    <w:rsid w:val="00B436DF"/>
    <w:rsid w:val="00B43EC5"/>
    <w:rsid w:val="00B704AF"/>
    <w:rsid w:val="00B71268"/>
    <w:rsid w:val="00B73DB5"/>
    <w:rsid w:val="00B74354"/>
    <w:rsid w:val="00B820B1"/>
    <w:rsid w:val="00B82621"/>
    <w:rsid w:val="00B904F2"/>
    <w:rsid w:val="00B93821"/>
    <w:rsid w:val="00B9752A"/>
    <w:rsid w:val="00BA656A"/>
    <w:rsid w:val="00BB4C3F"/>
    <w:rsid w:val="00BB7DAF"/>
    <w:rsid w:val="00BB7E01"/>
    <w:rsid w:val="00BC6B56"/>
    <w:rsid w:val="00BD65B7"/>
    <w:rsid w:val="00BE4945"/>
    <w:rsid w:val="00BE599A"/>
    <w:rsid w:val="00BF7FA9"/>
    <w:rsid w:val="00C00D14"/>
    <w:rsid w:val="00C019A8"/>
    <w:rsid w:val="00C105FB"/>
    <w:rsid w:val="00C12772"/>
    <w:rsid w:val="00C216B8"/>
    <w:rsid w:val="00C3283F"/>
    <w:rsid w:val="00C33902"/>
    <w:rsid w:val="00C360B9"/>
    <w:rsid w:val="00C44C19"/>
    <w:rsid w:val="00C61445"/>
    <w:rsid w:val="00C624A8"/>
    <w:rsid w:val="00C6710B"/>
    <w:rsid w:val="00C72050"/>
    <w:rsid w:val="00C732CE"/>
    <w:rsid w:val="00C83553"/>
    <w:rsid w:val="00C835B1"/>
    <w:rsid w:val="00C8565D"/>
    <w:rsid w:val="00C86CAD"/>
    <w:rsid w:val="00C906CA"/>
    <w:rsid w:val="00C91EDC"/>
    <w:rsid w:val="00C92A16"/>
    <w:rsid w:val="00C92F50"/>
    <w:rsid w:val="00CA3694"/>
    <w:rsid w:val="00CA73CF"/>
    <w:rsid w:val="00CB37B7"/>
    <w:rsid w:val="00CB76AF"/>
    <w:rsid w:val="00CB7F0A"/>
    <w:rsid w:val="00CC1A94"/>
    <w:rsid w:val="00CC2F56"/>
    <w:rsid w:val="00CC474C"/>
    <w:rsid w:val="00CD0F56"/>
    <w:rsid w:val="00CD776F"/>
    <w:rsid w:val="00CF536F"/>
    <w:rsid w:val="00D11E2B"/>
    <w:rsid w:val="00D16F91"/>
    <w:rsid w:val="00D25601"/>
    <w:rsid w:val="00D334C2"/>
    <w:rsid w:val="00D37D60"/>
    <w:rsid w:val="00D57D6D"/>
    <w:rsid w:val="00D629FA"/>
    <w:rsid w:val="00D62A0F"/>
    <w:rsid w:val="00D6439C"/>
    <w:rsid w:val="00D67417"/>
    <w:rsid w:val="00D87D2C"/>
    <w:rsid w:val="00D92466"/>
    <w:rsid w:val="00D926A1"/>
    <w:rsid w:val="00DA7107"/>
    <w:rsid w:val="00DB7BDF"/>
    <w:rsid w:val="00DC3C5B"/>
    <w:rsid w:val="00DD634A"/>
    <w:rsid w:val="00DD7168"/>
    <w:rsid w:val="00E04B34"/>
    <w:rsid w:val="00E16D05"/>
    <w:rsid w:val="00E23D41"/>
    <w:rsid w:val="00E26440"/>
    <w:rsid w:val="00E330BF"/>
    <w:rsid w:val="00E34283"/>
    <w:rsid w:val="00E45ABD"/>
    <w:rsid w:val="00E5423B"/>
    <w:rsid w:val="00E55EB2"/>
    <w:rsid w:val="00E57B69"/>
    <w:rsid w:val="00E67737"/>
    <w:rsid w:val="00E807B0"/>
    <w:rsid w:val="00E8173E"/>
    <w:rsid w:val="00E87A53"/>
    <w:rsid w:val="00E9012C"/>
    <w:rsid w:val="00EB6821"/>
    <w:rsid w:val="00EC6666"/>
    <w:rsid w:val="00ED1B86"/>
    <w:rsid w:val="00EE2BF0"/>
    <w:rsid w:val="00EE5888"/>
    <w:rsid w:val="00EF5124"/>
    <w:rsid w:val="00F02181"/>
    <w:rsid w:val="00F079AD"/>
    <w:rsid w:val="00F11C2D"/>
    <w:rsid w:val="00F203C0"/>
    <w:rsid w:val="00F316EE"/>
    <w:rsid w:val="00F46107"/>
    <w:rsid w:val="00F4660E"/>
    <w:rsid w:val="00F53972"/>
    <w:rsid w:val="00F616DD"/>
    <w:rsid w:val="00F63946"/>
    <w:rsid w:val="00F66D38"/>
    <w:rsid w:val="00F84F1A"/>
    <w:rsid w:val="00F9120D"/>
    <w:rsid w:val="00F912E0"/>
    <w:rsid w:val="00F929D3"/>
    <w:rsid w:val="00FA7EAE"/>
    <w:rsid w:val="00FB03F5"/>
    <w:rsid w:val="00FB0673"/>
    <w:rsid w:val="00FC1BDB"/>
    <w:rsid w:val="00FC4000"/>
    <w:rsid w:val="00FD425B"/>
    <w:rsid w:val="00FE44E7"/>
    <w:rsid w:val="00FF2C22"/>
    <w:rsid w:val="00FF3CA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F3D09"/>
  <w15:docId w15:val="{48E21782-3565-46B5-98D0-E3CDF3A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BA"/>
  </w:style>
  <w:style w:type="paragraph" w:styleId="Naslov1">
    <w:name w:val="heading 1"/>
    <w:basedOn w:val="Normal"/>
    <w:next w:val="Normal"/>
    <w:link w:val="Naslov1Char"/>
    <w:uiPriority w:val="9"/>
    <w:qFormat/>
    <w:rsid w:val="00A87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91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66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42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4E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4E7"/>
  </w:style>
  <w:style w:type="paragraph" w:styleId="Podnoje">
    <w:name w:val="footer"/>
    <w:basedOn w:val="Normal"/>
    <w:link w:val="PodnojeChar"/>
    <w:uiPriority w:val="99"/>
    <w:unhideWhenUsed/>
    <w:rsid w:val="00FE44E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4E7"/>
  </w:style>
  <w:style w:type="paragraph" w:styleId="Tekstbalonia">
    <w:name w:val="Balloon Text"/>
    <w:basedOn w:val="Normal"/>
    <w:link w:val="TekstbaloniaChar"/>
    <w:uiPriority w:val="99"/>
    <w:semiHidden/>
    <w:unhideWhenUsed/>
    <w:rsid w:val="00FE44E7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E7"/>
    <w:rPr>
      <w:rFonts w:ascii="Times New Roman" w:hAnsi="Times New Roman" w:cs="Times New Roman"/>
      <w:sz w:val="18"/>
      <w:szCs w:val="18"/>
    </w:rPr>
  </w:style>
  <w:style w:type="table" w:styleId="Reetkatablice">
    <w:name w:val="Table Grid"/>
    <w:basedOn w:val="Obinatablica"/>
    <w:uiPriority w:val="59"/>
    <w:rsid w:val="00FE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06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link w:val="OdlomakpopisaChar"/>
    <w:uiPriority w:val="34"/>
    <w:qFormat/>
    <w:rsid w:val="0030636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16F91"/>
  </w:style>
  <w:style w:type="character" w:customStyle="1" w:styleId="companyinfotitle">
    <w:name w:val="companyinfotitle"/>
    <w:basedOn w:val="Zadanifontodlomka"/>
    <w:rsid w:val="00D16F91"/>
  </w:style>
  <w:style w:type="character" w:styleId="Hiperveza">
    <w:name w:val="Hyperlink"/>
    <w:basedOn w:val="Zadanifontodlomka"/>
    <w:uiPriority w:val="99"/>
    <w:unhideWhenUsed/>
    <w:rsid w:val="00D6439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6439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A87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B0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9120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ullets">
    <w:name w:val="Bullets"/>
    <w:basedOn w:val="Normal"/>
    <w:rsid w:val="00F9120D"/>
    <w:pPr>
      <w:numPr>
        <w:numId w:val="9"/>
      </w:numPr>
      <w:overflowPunct w:val="0"/>
      <w:autoSpaceDE w:val="0"/>
      <w:autoSpaceDN w:val="0"/>
      <w:adjustRightInd w:val="0"/>
      <w:spacing w:before="120" w:line="259" w:lineRule="auto"/>
      <w:ind w:left="714" w:hanging="357"/>
      <w:jc w:val="both"/>
      <w:textAlignment w:val="baseline"/>
    </w:pPr>
    <w:rPr>
      <w:rFonts w:ascii="Segoe UI" w:eastAsia="Times New Roman" w:hAnsi="Segoe UI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qFormat/>
    <w:rsid w:val="00F9120D"/>
    <w:pPr>
      <w:spacing w:before="120" w:line="259" w:lineRule="auto"/>
      <w:ind w:left="714"/>
      <w:jc w:val="both"/>
    </w:pPr>
    <w:rPr>
      <w:rFonts w:ascii="Segoe UI" w:eastAsia="Times New Roman" w:hAnsi="Segoe UI" w:cs="Times New Roman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42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693D08"/>
  </w:style>
  <w:style w:type="paragraph" w:styleId="TOCNaslov">
    <w:name w:val="TOC Heading"/>
    <w:basedOn w:val="Naslov1"/>
    <w:next w:val="Normal"/>
    <w:uiPriority w:val="39"/>
    <w:unhideWhenUsed/>
    <w:qFormat/>
    <w:rsid w:val="003C3D3D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3C3D3D"/>
    <w:pPr>
      <w:spacing w:before="120"/>
    </w:pPr>
    <w:rPr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rsid w:val="003C3D3D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3C3D3D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3C3D3D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3C3D3D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3C3D3D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3C3D3D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3C3D3D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3C3D3D"/>
    <w:pPr>
      <w:ind w:left="1920"/>
    </w:pPr>
    <w:rPr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766C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1656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656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1656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B257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575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57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57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575B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E4F32"/>
    <w:rPr>
      <w:color w:val="954F72" w:themeColor="followedHyperlink"/>
      <w:u w:val="single"/>
    </w:rPr>
  </w:style>
  <w:style w:type="character" w:styleId="Naglaeno">
    <w:name w:val="Strong"/>
    <w:uiPriority w:val="22"/>
    <w:qFormat/>
    <w:rsid w:val="00424BB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B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C5A5A-DCA6-C74B-9BCA-B377F69E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2021-07-15T20:47:00Z</cp:lastPrinted>
  <dcterms:created xsi:type="dcterms:W3CDTF">2021-10-24T19:41:00Z</dcterms:created>
  <dcterms:modified xsi:type="dcterms:W3CDTF">2021-11-18T21:27:00Z</dcterms:modified>
  <cp:category/>
</cp:coreProperties>
</file>