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77777777" w:rsidR="00A0786F" w:rsidRPr="00912D45" w:rsidRDefault="0091073A"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7C849074" w14:textId="77777777" w:rsidR="00A0786F" w:rsidRPr="00912D45" w:rsidRDefault="00A0786F" w:rsidP="00A0786F">
      <w:pPr>
        <w:tabs>
          <w:tab w:val="left" w:pos="567"/>
        </w:tabs>
        <w:spacing w:after="0"/>
        <w:jc w:val="center"/>
        <w:rPr>
          <w:rFonts w:ascii="Arial" w:hAnsi="Arial" w:cs="Arial"/>
          <w:b/>
          <w:noProof/>
          <w:sz w:val="20"/>
          <w:szCs w:val="20"/>
        </w:rPr>
      </w:pP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3FA6DF29"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w:t>
      </w:r>
      <w:proofErr w:type="gramStart"/>
      <w:r w:rsidRPr="00912D45">
        <w:rPr>
          <w:rFonts w:ascii="Arial" w:hAnsi="Arial" w:cs="Arial"/>
          <w:b/>
          <w:i/>
          <w:iCs/>
          <w:sz w:val="20"/>
          <w:szCs w:val="20"/>
          <w:lang w:val="en-US"/>
        </w:rPr>
        <w:t>empty.</w:t>
      </w:r>
      <w:r w:rsidR="0091073A" w:rsidRPr="00912D45">
        <w:rPr>
          <w:rFonts w:ascii="Arial" w:hAnsi="Arial" w:cs="Arial"/>
          <w:b/>
          <w:i/>
          <w:iCs/>
          <w:sz w:val="20"/>
          <w:szCs w:val="20"/>
          <w:lang w:val="en-US"/>
        </w:rPr>
        <w:t>/</w:t>
      </w:r>
      <w:proofErr w:type="gramEnd"/>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0A3230" w:rsidRPr="00912D45" w14:paraId="1BD1CD68" w14:textId="77777777" w:rsidTr="00763228">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A0786F" w:rsidRPr="00912D45" w:rsidRDefault="00165AE1"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lastRenderedPageBreak/>
              <w:t>Subject no./</w:t>
            </w:r>
            <w:r w:rsidR="00A0786F"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A0786F" w:rsidRPr="00912D45" w:rsidRDefault="00756B8A" w:rsidP="00B610DA">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00A0786F"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A0786F" w:rsidRPr="00912D45" w:rsidRDefault="00A60AC2"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 xml:space="preserve">Unit of measure </w:t>
            </w:r>
            <w:r w:rsidR="00DC5D7F" w:rsidRPr="00912D45">
              <w:rPr>
                <w:rFonts w:ascii="Arial" w:hAnsi="Arial" w:cs="Arial"/>
                <w:b/>
                <w:i/>
                <w:iCs/>
                <w:sz w:val="20"/>
                <w:szCs w:val="20"/>
                <w:lang w:val="en-US"/>
              </w:rPr>
              <w:t>/</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A0786F" w:rsidRPr="00912D45" w:rsidRDefault="00DC5D7F"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rPr>
              <w:t>Quantity</w:t>
            </w:r>
            <w:r w:rsidR="00756B8A" w:rsidRPr="00912D45">
              <w:rPr>
                <w:rFonts w:ascii="Arial" w:hAnsi="Arial" w:cs="Arial"/>
                <w:b/>
                <w:i/>
                <w:iCs/>
                <w:sz w:val="20"/>
                <w:szCs w:val="20"/>
              </w:rPr>
              <w:t>/</w:t>
            </w:r>
            <w:r w:rsidR="00756B8A"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215475E9" w:rsidR="00A0786F" w:rsidRPr="00912D45" w:rsidRDefault="00756B8A"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bCs/>
                <w:color w:val="0D0D0D" w:themeColor="text1" w:themeTint="F2"/>
                <w:sz w:val="20"/>
                <w:szCs w:val="20"/>
                <w:lang w:bidi="hr-HR"/>
              </w:rPr>
              <w:t>Unit price,  VAT not included (</w:t>
            </w:r>
            <w:r w:rsidR="00A60AC2" w:rsidRPr="00912D45">
              <w:rPr>
                <w:rFonts w:ascii="Arial" w:hAnsi="Arial" w:cs="Arial"/>
                <w:b/>
                <w:bCs/>
                <w:color w:val="0D0D0D" w:themeColor="text1" w:themeTint="F2"/>
                <w:sz w:val="20"/>
                <w:szCs w:val="20"/>
                <w:lang w:bidi="hr-HR"/>
              </w:rPr>
              <w:t>EUR</w:t>
            </w:r>
            <w:r w:rsidR="00763228">
              <w:rPr>
                <w:rFonts w:ascii="Arial" w:hAnsi="Arial" w:cs="Arial"/>
                <w:b/>
                <w:bCs/>
                <w:color w:val="0D0D0D" w:themeColor="text1" w:themeTint="F2"/>
                <w:sz w:val="20"/>
                <w:szCs w:val="20"/>
                <w:lang w:bidi="hr-HR"/>
              </w:rPr>
              <w:t xml:space="preserve"> or HRK</w:t>
            </w:r>
            <w:r w:rsidRPr="00912D45">
              <w:rPr>
                <w:rFonts w:ascii="Arial" w:hAnsi="Arial" w:cs="Arial"/>
                <w:b/>
                <w:bCs/>
                <w:color w:val="0D0D0D" w:themeColor="text1" w:themeTint="F2"/>
                <w:sz w:val="20"/>
                <w:szCs w:val="20"/>
                <w:lang w:bidi="hr-HR"/>
              </w:rPr>
              <w:t>)/</w:t>
            </w:r>
            <w:r w:rsidR="00A0786F" w:rsidRPr="00912D45">
              <w:rPr>
                <w:rFonts w:ascii="Arial" w:eastAsia="Times New Roman" w:hAnsi="Arial" w:cs="Arial"/>
                <w:b/>
                <w:bCs/>
                <w:color w:val="808080" w:themeColor="background1" w:themeShade="80"/>
                <w:sz w:val="20"/>
                <w:szCs w:val="20"/>
                <w:lang w:eastAsia="hr-HR"/>
              </w:rPr>
              <w:t>Jedinična cijena (bez PDV-a)</w:t>
            </w:r>
            <w:r w:rsidR="00A60AC2" w:rsidRPr="00912D45">
              <w:rPr>
                <w:rFonts w:ascii="Arial" w:eastAsia="Times New Roman" w:hAnsi="Arial" w:cs="Arial"/>
                <w:b/>
                <w:bCs/>
                <w:color w:val="808080" w:themeColor="background1" w:themeShade="80"/>
                <w:sz w:val="20"/>
                <w:szCs w:val="20"/>
                <w:lang w:eastAsia="hr-HR"/>
              </w:rPr>
              <w:t xml:space="preserve"> (EUR</w:t>
            </w:r>
            <w:r w:rsidR="00763228">
              <w:rPr>
                <w:rFonts w:ascii="Arial" w:eastAsia="Times New Roman" w:hAnsi="Arial" w:cs="Arial"/>
                <w:b/>
                <w:bCs/>
                <w:color w:val="808080" w:themeColor="background1" w:themeShade="80"/>
                <w:sz w:val="20"/>
                <w:szCs w:val="20"/>
                <w:lang w:eastAsia="hr-HR"/>
              </w:rPr>
              <w:t xml:space="preserve"> ili HRK</w:t>
            </w:r>
            <w:r w:rsidR="00A60AC2" w:rsidRPr="00912D45">
              <w:rPr>
                <w:rFonts w:ascii="Arial" w:eastAsia="Times New Roman" w:hAnsi="Arial" w:cs="Arial"/>
                <w:b/>
                <w:bCs/>
                <w:color w:val="808080" w:themeColor="background1" w:themeShade="80"/>
                <w:sz w:val="20"/>
                <w:szCs w:val="20"/>
                <w:lang w:eastAsia="hr-HR"/>
              </w:rPr>
              <w:t>)</w:t>
            </w:r>
            <w:r w:rsidR="00763228">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66E79FCE" w:rsidR="00A0786F" w:rsidRPr="00763228" w:rsidRDefault="00756B8A" w:rsidP="00B610DA">
            <w:pPr>
              <w:spacing w:after="0" w:line="240" w:lineRule="auto"/>
              <w:jc w:val="center"/>
              <w:rPr>
                <w:rFonts w:ascii="Arial" w:eastAsia="Times New Roman" w:hAnsi="Arial" w:cs="Arial"/>
                <w:b/>
                <w:bCs/>
                <w:color w:val="000000"/>
                <w:sz w:val="20"/>
                <w:szCs w:val="20"/>
                <w:vertAlign w:val="superscript"/>
                <w:lang w:eastAsia="hr-HR"/>
              </w:rPr>
            </w:pPr>
            <w:r w:rsidRPr="00912D45">
              <w:rPr>
                <w:rFonts w:ascii="Arial" w:hAnsi="Arial" w:cs="Arial"/>
                <w:b/>
                <w:i/>
                <w:iCs/>
                <w:sz w:val="20"/>
                <w:szCs w:val="20"/>
                <w:lang w:val="en-US"/>
              </w:rPr>
              <w:t>Total price without VAT (</w:t>
            </w:r>
            <w:r w:rsidR="004A6BC9" w:rsidRPr="00912D45">
              <w:rPr>
                <w:rFonts w:ascii="Arial" w:hAnsi="Arial" w:cs="Arial"/>
                <w:b/>
                <w:i/>
                <w:iCs/>
                <w:sz w:val="20"/>
                <w:szCs w:val="20"/>
                <w:lang w:val="en-US"/>
              </w:rPr>
              <w:t>EUR</w:t>
            </w:r>
            <w:r w:rsidR="00763228">
              <w:rPr>
                <w:rFonts w:ascii="Arial" w:hAnsi="Arial" w:cs="Arial"/>
                <w:b/>
                <w:i/>
                <w:iCs/>
                <w:sz w:val="20"/>
                <w:szCs w:val="20"/>
                <w:lang w:val="en-US"/>
              </w:rPr>
              <w:t xml:space="preserve"> or HRK</w:t>
            </w:r>
            <w:r w:rsidRPr="00912D45">
              <w:rPr>
                <w:rFonts w:ascii="Arial" w:hAnsi="Arial" w:cs="Arial"/>
                <w:b/>
                <w:i/>
                <w:iCs/>
                <w:sz w:val="20"/>
                <w:szCs w:val="20"/>
                <w:lang w:val="en-US"/>
              </w:rPr>
              <w:t>) /</w:t>
            </w:r>
            <w:r w:rsidRPr="00912D45">
              <w:rPr>
                <w:rFonts w:ascii="Arial" w:hAnsi="Arial" w:cs="Arial"/>
                <w:b/>
                <w:bCs/>
                <w:color w:val="00B0F0"/>
                <w:sz w:val="20"/>
                <w:szCs w:val="20"/>
                <w:lang w:bidi="hr-HR"/>
              </w:rPr>
              <w:t xml:space="preserve"> </w:t>
            </w:r>
            <w:r w:rsidR="00A0786F" w:rsidRPr="00912D45">
              <w:rPr>
                <w:rFonts w:ascii="Arial" w:hAnsi="Arial" w:cs="Arial"/>
                <w:b/>
                <w:i/>
                <w:iCs/>
                <w:color w:val="808080" w:themeColor="background1" w:themeShade="80"/>
                <w:sz w:val="20"/>
                <w:szCs w:val="20"/>
              </w:rPr>
              <w:t>Ukupna cijena</w:t>
            </w:r>
            <w:r w:rsidR="004A6BC9" w:rsidRPr="00912D45">
              <w:rPr>
                <w:rFonts w:ascii="Arial" w:hAnsi="Arial" w:cs="Arial"/>
                <w:b/>
                <w:i/>
                <w:iCs/>
                <w:color w:val="808080" w:themeColor="background1" w:themeShade="80"/>
                <w:sz w:val="20"/>
                <w:szCs w:val="20"/>
              </w:rPr>
              <w:t xml:space="preserve"> bez PDV-a</w:t>
            </w:r>
            <w:r w:rsidR="00A0786F" w:rsidRPr="00912D45">
              <w:rPr>
                <w:rFonts w:ascii="Arial" w:hAnsi="Arial" w:cs="Arial"/>
                <w:b/>
                <w:i/>
                <w:iCs/>
                <w:color w:val="808080" w:themeColor="background1" w:themeShade="80"/>
                <w:sz w:val="20"/>
                <w:szCs w:val="20"/>
              </w:rPr>
              <w:t xml:space="preserve"> </w:t>
            </w:r>
            <w:r w:rsidR="00763228">
              <w:rPr>
                <w:rFonts w:ascii="Arial" w:hAnsi="Arial" w:cs="Arial"/>
                <w:b/>
                <w:i/>
                <w:iCs/>
                <w:color w:val="808080" w:themeColor="background1" w:themeShade="80"/>
                <w:sz w:val="20"/>
                <w:szCs w:val="20"/>
              </w:rPr>
              <w:t>(</w:t>
            </w:r>
            <w:r w:rsidR="004A6BC9"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ili </w:t>
            </w:r>
            <w:proofErr w:type="gramStart"/>
            <w:r w:rsidR="00763228">
              <w:rPr>
                <w:rFonts w:ascii="Arial" w:hAnsi="Arial" w:cs="Arial"/>
                <w:b/>
                <w:i/>
                <w:iCs/>
                <w:color w:val="808080" w:themeColor="background1" w:themeShade="80"/>
                <w:sz w:val="20"/>
                <w:szCs w:val="20"/>
              </w:rPr>
              <w:t>HRK)</w:t>
            </w:r>
            <w:r w:rsidR="00763228">
              <w:rPr>
                <w:rFonts w:ascii="Arial" w:hAnsi="Arial" w:cs="Arial"/>
                <w:b/>
                <w:i/>
                <w:iCs/>
                <w:color w:val="808080" w:themeColor="background1" w:themeShade="80"/>
                <w:sz w:val="20"/>
                <w:szCs w:val="20"/>
                <w:vertAlign w:val="superscript"/>
              </w:rPr>
              <w:t>*</w:t>
            </w:r>
            <w:proofErr w:type="gramEnd"/>
          </w:p>
        </w:tc>
      </w:tr>
      <w:tr w:rsidR="00F27343" w:rsidRPr="00912D45" w14:paraId="63E31DB3" w14:textId="77777777" w:rsidTr="00763228">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763228">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hideMark/>
          </w:tcPr>
          <w:p w14:paraId="7E694C70" w14:textId="1F6BD00C" w:rsidR="00A3082E" w:rsidRDefault="00912D45" w:rsidP="00756B8A">
            <w:pPr>
              <w:keepLines/>
              <w:rPr>
                <w:rFonts w:ascii="Arial" w:eastAsia="Times New Roman" w:hAnsi="Arial" w:cs="Arial"/>
                <w:b/>
                <w:sz w:val="20"/>
                <w:szCs w:val="20"/>
                <w:lang w:eastAsia="hr-HR" w:bidi="hr-HR"/>
              </w:rPr>
            </w:pPr>
            <w:r w:rsidRPr="00912D45">
              <w:rPr>
                <w:rFonts w:ascii="Arial" w:eastAsia="Times New Roman" w:hAnsi="Arial" w:cs="Arial"/>
                <w:b/>
                <w:sz w:val="20"/>
                <w:szCs w:val="20"/>
                <w:lang w:val="en-GB" w:eastAsia="hr-HR" w:bidi="hr-HR"/>
              </w:rPr>
              <w:t>C</w:t>
            </w:r>
            <w:r w:rsidR="00763228">
              <w:rPr>
                <w:rFonts w:ascii="Arial" w:eastAsia="Times New Roman" w:hAnsi="Arial" w:cs="Arial"/>
                <w:b/>
                <w:sz w:val="20"/>
                <w:szCs w:val="20"/>
                <w:lang w:val="en-GB" w:eastAsia="hr-HR" w:bidi="hr-HR"/>
              </w:rPr>
              <w:t>DF software</w:t>
            </w:r>
            <w:r w:rsidR="00A3082E">
              <w:rPr>
                <w:rFonts w:ascii="Arial" w:eastAsia="Times New Roman" w:hAnsi="Arial" w:cs="Arial"/>
                <w:b/>
                <w:sz w:val="20"/>
                <w:szCs w:val="20"/>
                <w:lang w:val="en-GB" w:eastAsia="hr-HR" w:bidi="hr-HR"/>
              </w:rPr>
              <w:t xml:space="preserve"> </w:t>
            </w:r>
            <w:r w:rsidR="00A3082E" w:rsidRPr="00A3082E">
              <w:rPr>
                <w:rFonts w:ascii="Arial" w:eastAsia="Times New Roman" w:hAnsi="Arial" w:cs="Arial"/>
                <w:b/>
                <w:sz w:val="20"/>
                <w:szCs w:val="20"/>
                <w:lang w:eastAsia="hr-HR" w:bidi="hr-HR"/>
              </w:rPr>
              <w:t>according to Annex 2. Technical specifications</w:t>
            </w:r>
            <w:r w:rsidR="00A3082E">
              <w:rPr>
                <w:rFonts w:ascii="Arial" w:eastAsia="Times New Roman" w:hAnsi="Arial" w:cs="Arial"/>
                <w:b/>
                <w:sz w:val="20"/>
                <w:szCs w:val="20"/>
                <w:lang w:eastAsia="hr-HR" w:bidi="hr-HR"/>
              </w:rPr>
              <w:t>/</w:t>
            </w:r>
          </w:p>
          <w:p w14:paraId="1DCF6E43" w14:textId="0034DDD8" w:rsidR="00A0786F" w:rsidRPr="00912D45" w:rsidRDefault="00763228" w:rsidP="00756B8A">
            <w:pPr>
              <w:keepLines/>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lang w:bidi="hr-HR"/>
              </w:rPr>
              <w:t>CDF softver</w:t>
            </w:r>
            <w:r w:rsidR="00A3082E" w:rsidRPr="00A3082E">
              <w:rPr>
                <w:rFonts w:ascii="Arial" w:hAnsi="Arial" w:cs="Arial"/>
                <w:b/>
                <w:i/>
                <w:iCs/>
                <w:color w:val="808080" w:themeColor="background1" w:themeShade="80"/>
                <w:sz w:val="20"/>
                <w:szCs w:val="20"/>
                <w:lang w:bidi="hr-HR"/>
              </w:rPr>
              <w:t xml:space="preserve"> sve sukladno Prilogu 2. Tehničke specifikacije</w:t>
            </w:r>
          </w:p>
        </w:tc>
        <w:tc>
          <w:tcPr>
            <w:tcW w:w="1664" w:type="dxa"/>
            <w:tcBorders>
              <w:top w:val="nil"/>
              <w:left w:val="nil"/>
              <w:bottom w:val="single" w:sz="8" w:space="0" w:color="auto"/>
              <w:right w:val="single" w:sz="8" w:space="0" w:color="auto"/>
            </w:tcBorders>
            <w:shd w:val="clear" w:color="auto" w:fill="auto"/>
            <w:vAlign w:val="center"/>
            <w:hideMark/>
          </w:tcPr>
          <w:p w14:paraId="39C5CCD8" w14:textId="65DBC770" w:rsidR="00A0786F" w:rsidRPr="00912D45" w:rsidRDefault="00912D45" w:rsidP="00B14345">
            <w:pPr>
              <w:tabs>
                <w:tab w:val="left" w:pos="567"/>
              </w:tabs>
              <w:rPr>
                <w:rFonts w:ascii="Arial" w:eastAsia="Times New Roman" w:hAnsi="Arial" w:cs="Arial"/>
                <w:sz w:val="20"/>
                <w:szCs w:val="20"/>
                <w:lang w:eastAsia="hr-HR"/>
              </w:rPr>
            </w:pPr>
            <w:r w:rsidRPr="00912D45">
              <w:rPr>
                <w:rFonts w:ascii="Arial" w:eastAsia="Times New Roman" w:hAnsi="Arial" w:cs="Arial"/>
                <w:b/>
                <w:bCs/>
                <w:sz w:val="20"/>
                <w:szCs w:val="20"/>
                <w:lang w:eastAsia="hr-HR"/>
              </w:rPr>
              <w:t>Set/</w:t>
            </w:r>
            <w:r w:rsidRPr="00912D45">
              <w:rPr>
                <w:rFonts w:ascii="Arial" w:eastAsia="Times New Roman" w:hAnsi="Arial" w:cs="Arial"/>
                <w:b/>
                <w:bCs/>
                <w:i/>
                <w:iCs/>
                <w:color w:val="808080" w:themeColor="background1" w:themeShade="80"/>
                <w:sz w:val="20"/>
                <w:szCs w:val="20"/>
                <w:lang w:eastAsia="hr-HR"/>
              </w:rPr>
              <w:t>komplet</w:t>
            </w:r>
          </w:p>
        </w:tc>
        <w:tc>
          <w:tcPr>
            <w:tcW w:w="1861" w:type="dxa"/>
            <w:tcBorders>
              <w:top w:val="nil"/>
              <w:left w:val="nil"/>
              <w:bottom w:val="single" w:sz="8" w:space="0" w:color="auto"/>
              <w:right w:val="single" w:sz="8" w:space="0" w:color="auto"/>
            </w:tcBorders>
            <w:shd w:val="clear" w:color="auto" w:fill="auto"/>
            <w:vAlign w:val="center"/>
            <w:hideMark/>
          </w:tcPr>
          <w:p w14:paraId="74503F66" w14:textId="77777777" w:rsidR="00A0786F" w:rsidRPr="00912D45" w:rsidRDefault="00A0786F" w:rsidP="00B610DA">
            <w:pPr>
              <w:spacing w:after="0" w:line="240" w:lineRule="auto"/>
              <w:jc w:val="center"/>
              <w:rPr>
                <w:rFonts w:ascii="Arial" w:eastAsia="Times New Roman" w:hAnsi="Arial" w:cs="Arial"/>
                <w:sz w:val="20"/>
                <w:szCs w:val="20"/>
                <w:lang w:eastAsia="hr-HR"/>
              </w:rPr>
            </w:pPr>
            <w:r w:rsidRPr="00912D45">
              <w:rPr>
                <w:rFonts w:ascii="Arial" w:hAnsi="Arial" w:cs="Arial"/>
                <w:sz w:val="20"/>
                <w:szCs w:val="20"/>
              </w:rPr>
              <w:t>1</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DC5D7F" w:rsidRPr="00912D45" w14:paraId="2E3814DE" w14:textId="77777777" w:rsidTr="00763228">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5EEA97C6"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Total tender price with no value added tax - in numbers (</w:t>
            </w:r>
            <w:r w:rsidR="00F33102" w:rsidRPr="00912D45">
              <w:rPr>
                <w:rFonts w:ascii="Arial" w:hAnsi="Arial" w:cs="Arial"/>
                <w:b/>
                <w:i/>
                <w:iCs/>
                <w:sz w:val="20"/>
                <w:szCs w:val="20"/>
              </w:rPr>
              <w:t>EUR</w:t>
            </w:r>
            <w:r w:rsidR="00763228">
              <w:rPr>
                <w:rFonts w:ascii="Arial" w:hAnsi="Arial" w:cs="Arial"/>
                <w:b/>
                <w:i/>
                <w:iCs/>
                <w:sz w:val="20"/>
                <w:szCs w:val="20"/>
              </w:rPr>
              <w:t xml:space="preserve"> or HRK</w:t>
            </w:r>
            <w:r w:rsidRPr="00912D45">
              <w:rPr>
                <w:rFonts w:ascii="Arial" w:hAnsi="Arial" w:cs="Arial"/>
                <w:b/>
                <w:i/>
                <w:iCs/>
                <w:sz w:val="20"/>
                <w:szCs w:val="20"/>
              </w:rPr>
              <w:t xml:space="preserve"> )</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ili HRK</w:t>
            </w:r>
            <w:r w:rsidR="00756B8A" w:rsidRPr="00912D45">
              <w:rPr>
                <w:rFonts w:ascii="Arial" w:hAnsi="Arial" w:cs="Arial"/>
                <w:b/>
                <w:i/>
                <w:iCs/>
                <w:color w:val="808080" w:themeColor="background1" w:themeShade="80"/>
                <w:sz w:val="20"/>
                <w:szCs w:val="20"/>
              </w:rPr>
              <w:t>)</w:t>
            </w:r>
            <w:r w:rsidR="00763228">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763228">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68CD5D05"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763228">
              <w:rPr>
                <w:rFonts w:ascii="Arial" w:hAnsi="Arial" w:cs="Arial"/>
                <w:b/>
                <w:i/>
                <w:iCs/>
                <w:sz w:val="20"/>
                <w:szCs w:val="20"/>
              </w:rPr>
              <w:t xml:space="preserve"> or HRK</w:t>
            </w:r>
            <w:r w:rsidR="003B0C18" w:rsidRPr="00912D45">
              <w:rPr>
                <w:rFonts w:ascii="Arial" w:hAnsi="Arial" w:cs="Arial"/>
                <w:b/>
                <w:i/>
                <w:iCs/>
                <w:sz w:val="20"/>
                <w:szCs w:val="20"/>
              </w:rPr>
              <w:t>)</w:t>
            </w:r>
            <w:r w:rsidR="00495E5E" w:rsidRPr="00912D45">
              <w:rPr>
                <w:rFonts w:ascii="Arial" w:eastAsia="Times New Roman" w:hAnsi="Arial" w:cs="Arial"/>
                <w:b/>
                <w:bCs/>
                <w:color w:val="000000"/>
                <w:sz w:val="20"/>
                <w:szCs w:val="20"/>
                <w:lang w:eastAsia="hr-HR"/>
              </w:rPr>
              <w:t>/</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ili HRK</w:t>
            </w:r>
            <w:r w:rsidR="003B0C18" w:rsidRPr="00912D45">
              <w:rPr>
                <w:rFonts w:ascii="Arial" w:hAnsi="Arial" w:cs="Arial"/>
                <w:b/>
                <w:i/>
                <w:iCs/>
                <w:color w:val="808080" w:themeColor="background1" w:themeShade="80"/>
                <w:sz w:val="20"/>
                <w:szCs w:val="20"/>
              </w:rPr>
              <w:t>)</w:t>
            </w:r>
            <w:r w:rsidR="00763228">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763228">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29767DB5"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Total price with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763228">
              <w:rPr>
                <w:rFonts w:ascii="Arial" w:hAnsi="Arial" w:cs="Arial"/>
                <w:b/>
                <w:i/>
                <w:iCs/>
                <w:sz w:val="20"/>
                <w:szCs w:val="20"/>
              </w:rPr>
              <w:t xml:space="preserve"> ili HRK</w:t>
            </w:r>
            <w:r w:rsidR="003E5C82" w:rsidRPr="00912D45">
              <w:rPr>
                <w:rFonts w:ascii="Arial" w:hAnsi="Arial" w:cs="Arial"/>
                <w:b/>
                <w:i/>
                <w:iCs/>
                <w:sz w:val="20"/>
                <w:szCs w:val="20"/>
              </w:rPr>
              <w:t>)</w:t>
            </w:r>
            <w:r w:rsidRPr="00912D45">
              <w:rPr>
                <w:rFonts w:ascii="Arial" w:hAnsi="Arial" w:cs="Arial"/>
                <w:b/>
                <w:i/>
                <w:iCs/>
                <w:sz w:val="20"/>
                <w:szCs w:val="20"/>
              </w:rPr>
              <w:t>/</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763228">
              <w:rPr>
                <w:rFonts w:ascii="Arial" w:hAnsi="Arial" w:cs="Arial"/>
                <w:b/>
                <w:i/>
                <w:iCs/>
                <w:color w:val="808080" w:themeColor="background1" w:themeShade="80"/>
                <w:sz w:val="20"/>
                <w:szCs w:val="20"/>
              </w:rPr>
              <w:t xml:space="preserve"> or HRK</w:t>
            </w:r>
            <w:r w:rsidR="003E5C82" w:rsidRPr="00912D45">
              <w:rPr>
                <w:rFonts w:ascii="Arial" w:hAnsi="Arial" w:cs="Arial"/>
                <w:b/>
                <w:i/>
                <w:iCs/>
                <w:color w:val="808080" w:themeColor="background1" w:themeShade="80"/>
                <w:sz w:val="20"/>
                <w:szCs w:val="20"/>
              </w:rPr>
              <w:t>)</w:t>
            </w:r>
            <w:r w:rsidR="00763228">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0D27E83C" w14:textId="4F050782" w:rsidR="008A0731" w:rsidRPr="00912D45" w:rsidRDefault="008A0731" w:rsidP="008A0731">
      <w:pPr>
        <w:rPr>
          <w:rFonts w:ascii="Arial" w:hAnsi="Arial" w:cs="Arial"/>
          <w:sz w:val="20"/>
          <w:szCs w:val="20"/>
        </w:rPr>
      </w:pPr>
    </w:p>
    <w:p w14:paraId="735A507D" w14:textId="7252E125" w:rsidR="008A0731" w:rsidRPr="00763228" w:rsidRDefault="00763228" w:rsidP="008A0731">
      <w:pPr>
        <w:tabs>
          <w:tab w:val="left" w:pos="8580"/>
        </w:tabs>
        <w:rPr>
          <w:rFonts w:ascii="Arial" w:hAnsi="Arial" w:cs="Arial"/>
          <w:color w:val="808080" w:themeColor="background1" w:themeShade="80"/>
          <w:sz w:val="20"/>
          <w:szCs w:val="20"/>
          <w:u w:val="single"/>
        </w:rPr>
      </w:pPr>
      <w:r w:rsidRPr="00763228">
        <w:rPr>
          <w:rFonts w:ascii="Arial" w:hAnsi="Arial" w:cs="Arial"/>
          <w:sz w:val="20"/>
          <w:szCs w:val="20"/>
          <w:u w:val="single"/>
        </w:rPr>
        <w:t>*</w:t>
      </w:r>
      <w:r w:rsidRPr="00763228">
        <w:rPr>
          <w:rFonts w:ascii="Arial" w:hAnsi="Arial" w:cs="Arial"/>
          <w:b/>
          <w:i/>
          <w:iCs/>
          <w:color w:val="808080" w:themeColor="background1" w:themeShade="80"/>
          <w:sz w:val="20"/>
          <w:szCs w:val="20"/>
          <w:u w:val="single"/>
        </w:rPr>
        <w:t xml:space="preserve"> </w:t>
      </w:r>
      <w:r w:rsidRPr="00763228">
        <w:rPr>
          <w:rFonts w:ascii="Arial" w:hAnsi="Arial" w:cs="Arial"/>
          <w:b/>
          <w:i/>
          <w:iCs/>
          <w:sz w:val="20"/>
          <w:szCs w:val="20"/>
          <w:u w:val="single"/>
        </w:rPr>
        <w:t>Prilikom unošenja cijena potrebno je naznačiti i valutu.</w:t>
      </w:r>
      <w:r w:rsidRPr="00763228">
        <w:rPr>
          <w:rFonts w:ascii="Arial" w:hAnsi="Arial" w:cs="Arial"/>
          <w:b/>
          <w:i/>
          <w:iCs/>
          <w:sz w:val="20"/>
          <w:szCs w:val="20"/>
          <w:u w:val="single"/>
        </w:rPr>
        <w:t>/</w:t>
      </w:r>
      <w:r w:rsidRPr="00763228">
        <w:rPr>
          <w:u w:val="single"/>
        </w:rPr>
        <w:t xml:space="preserve"> </w:t>
      </w:r>
      <w:r w:rsidRPr="00763228">
        <w:rPr>
          <w:rFonts w:ascii="Arial" w:hAnsi="Arial" w:cs="Arial"/>
          <w:b/>
          <w:i/>
          <w:iCs/>
          <w:color w:val="808080" w:themeColor="background1" w:themeShade="80"/>
          <w:sz w:val="20"/>
          <w:szCs w:val="20"/>
          <w:u w:val="single"/>
        </w:rPr>
        <w:t xml:space="preserve">When </w:t>
      </w:r>
      <w:r w:rsidRPr="00763228">
        <w:rPr>
          <w:rFonts w:ascii="Arial" w:hAnsi="Arial" w:cs="Arial"/>
          <w:b/>
          <w:i/>
          <w:iCs/>
          <w:color w:val="808080" w:themeColor="background1" w:themeShade="80"/>
          <w:sz w:val="20"/>
          <w:szCs w:val="20"/>
          <w:u w:val="single"/>
        </w:rPr>
        <w:t>stating</w:t>
      </w:r>
      <w:r w:rsidRPr="00763228">
        <w:rPr>
          <w:rFonts w:ascii="Arial" w:hAnsi="Arial" w:cs="Arial"/>
          <w:b/>
          <w:i/>
          <w:iCs/>
          <w:color w:val="808080" w:themeColor="background1" w:themeShade="80"/>
          <w:sz w:val="20"/>
          <w:szCs w:val="20"/>
          <w:u w:val="single"/>
        </w:rPr>
        <w:t xml:space="preserve"> prices, it is necessary to indicate the currency.</w:t>
      </w:r>
    </w:p>
    <w:sectPr w:rsidR="008A0731" w:rsidRPr="00763228"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9BA7" w14:textId="77777777" w:rsidR="00976B41" w:rsidRDefault="00976B41" w:rsidP="00A0786F">
      <w:pPr>
        <w:spacing w:after="0" w:line="240" w:lineRule="auto"/>
      </w:pPr>
      <w:r>
        <w:separator/>
      </w:r>
    </w:p>
  </w:endnote>
  <w:endnote w:type="continuationSeparator" w:id="0">
    <w:p w14:paraId="5FDB8C8E" w14:textId="77777777" w:rsidR="00976B41" w:rsidRDefault="00976B41" w:rsidP="00A0786F">
      <w:pPr>
        <w:spacing w:after="0" w:line="240" w:lineRule="auto"/>
      </w:pPr>
      <w:r>
        <w:continuationSeparator/>
      </w:r>
    </w:p>
  </w:endnote>
  <w:endnote w:type="continuationNotice" w:id="1">
    <w:p w14:paraId="571D19A3" w14:textId="77777777" w:rsidR="00976B41" w:rsidRDefault="00976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3111" w14:textId="77777777" w:rsidR="00976B41" w:rsidRDefault="00976B41" w:rsidP="00A0786F">
      <w:pPr>
        <w:spacing w:after="0" w:line="240" w:lineRule="auto"/>
      </w:pPr>
      <w:r>
        <w:separator/>
      </w:r>
    </w:p>
  </w:footnote>
  <w:footnote w:type="continuationSeparator" w:id="0">
    <w:p w14:paraId="7395D220" w14:textId="77777777" w:rsidR="00976B41" w:rsidRDefault="00976B41" w:rsidP="00A0786F">
      <w:pPr>
        <w:spacing w:after="0" w:line="240" w:lineRule="auto"/>
      </w:pPr>
      <w:r>
        <w:continuationSeparator/>
      </w:r>
    </w:p>
  </w:footnote>
  <w:footnote w:type="continuationNotice" w:id="1">
    <w:p w14:paraId="1CBC7702" w14:textId="77777777" w:rsidR="00976B41" w:rsidRDefault="00976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06ECF257"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976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32A13"/>
    <w:rsid w:val="000607F3"/>
    <w:rsid w:val="00065287"/>
    <w:rsid w:val="000A3230"/>
    <w:rsid w:val="000A39EC"/>
    <w:rsid w:val="000B544B"/>
    <w:rsid w:val="000C5699"/>
    <w:rsid w:val="000E3009"/>
    <w:rsid w:val="00127FD0"/>
    <w:rsid w:val="00140EC0"/>
    <w:rsid w:val="00141F18"/>
    <w:rsid w:val="0015301A"/>
    <w:rsid w:val="00165AE1"/>
    <w:rsid w:val="001765EF"/>
    <w:rsid w:val="001864F4"/>
    <w:rsid w:val="001D3E40"/>
    <w:rsid w:val="001E00C0"/>
    <w:rsid w:val="002018AF"/>
    <w:rsid w:val="002744BC"/>
    <w:rsid w:val="0028234E"/>
    <w:rsid w:val="002934C3"/>
    <w:rsid w:val="002B569D"/>
    <w:rsid w:val="002B625F"/>
    <w:rsid w:val="002C02A8"/>
    <w:rsid w:val="002D3484"/>
    <w:rsid w:val="002D6C4F"/>
    <w:rsid w:val="002E7520"/>
    <w:rsid w:val="002F3F3F"/>
    <w:rsid w:val="003149C7"/>
    <w:rsid w:val="00317D2F"/>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75E12"/>
    <w:rsid w:val="004857C3"/>
    <w:rsid w:val="004878BF"/>
    <w:rsid w:val="00495E5E"/>
    <w:rsid w:val="004A2651"/>
    <w:rsid w:val="004A6BC9"/>
    <w:rsid w:val="004C686F"/>
    <w:rsid w:val="004C7FC1"/>
    <w:rsid w:val="00515646"/>
    <w:rsid w:val="00535F83"/>
    <w:rsid w:val="00541049"/>
    <w:rsid w:val="005552B1"/>
    <w:rsid w:val="005607BC"/>
    <w:rsid w:val="00574B1F"/>
    <w:rsid w:val="005F13DD"/>
    <w:rsid w:val="005F5E45"/>
    <w:rsid w:val="00613F03"/>
    <w:rsid w:val="006166A6"/>
    <w:rsid w:val="00631DD5"/>
    <w:rsid w:val="0064258F"/>
    <w:rsid w:val="00675E79"/>
    <w:rsid w:val="006A6722"/>
    <w:rsid w:val="006B0D2D"/>
    <w:rsid w:val="006C6955"/>
    <w:rsid w:val="006E0848"/>
    <w:rsid w:val="006F41E1"/>
    <w:rsid w:val="006F6069"/>
    <w:rsid w:val="0074134F"/>
    <w:rsid w:val="00745848"/>
    <w:rsid w:val="00746529"/>
    <w:rsid w:val="00756B8A"/>
    <w:rsid w:val="00763228"/>
    <w:rsid w:val="007905DD"/>
    <w:rsid w:val="00790CC4"/>
    <w:rsid w:val="007A30D2"/>
    <w:rsid w:val="007D0BB8"/>
    <w:rsid w:val="007F79D6"/>
    <w:rsid w:val="008119E1"/>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75332"/>
    <w:rsid w:val="00976B41"/>
    <w:rsid w:val="009C0BC4"/>
    <w:rsid w:val="009D1AA3"/>
    <w:rsid w:val="009E4581"/>
    <w:rsid w:val="009F3C00"/>
    <w:rsid w:val="009F48C5"/>
    <w:rsid w:val="00A0786F"/>
    <w:rsid w:val="00A11D30"/>
    <w:rsid w:val="00A3082E"/>
    <w:rsid w:val="00A60AC2"/>
    <w:rsid w:val="00A6267C"/>
    <w:rsid w:val="00A77566"/>
    <w:rsid w:val="00AD0FDD"/>
    <w:rsid w:val="00B00312"/>
    <w:rsid w:val="00B023EB"/>
    <w:rsid w:val="00B041AD"/>
    <w:rsid w:val="00B14345"/>
    <w:rsid w:val="00B22596"/>
    <w:rsid w:val="00B25BFE"/>
    <w:rsid w:val="00B554E7"/>
    <w:rsid w:val="00B641B5"/>
    <w:rsid w:val="00B67B04"/>
    <w:rsid w:val="00B91797"/>
    <w:rsid w:val="00B95A3C"/>
    <w:rsid w:val="00B97D47"/>
    <w:rsid w:val="00BB0F68"/>
    <w:rsid w:val="00C25680"/>
    <w:rsid w:val="00C47EFC"/>
    <w:rsid w:val="00C66439"/>
    <w:rsid w:val="00C9479F"/>
    <w:rsid w:val="00CB7084"/>
    <w:rsid w:val="00CF4482"/>
    <w:rsid w:val="00D00D37"/>
    <w:rsid w:val="00D06E2E"/>
    <w:rsid w:val="00D35DA2"/>
    <w:rsid w:val="00D86168"/>
    <w:rsid w:val="00D90C05"/>
    <w:rsid w:val="00DC5D7F"/>
    <w:rsid w:val="00DC7367"/>
    <w:rsid w:val="00E14C00"/>
    <w:rsid w:val="00E30A64"/>
    <w:rsid w:val="00E47EA1"/>
    <w:rsid w:val="00E60038"/>
    <w:rsid w:val="00E82EAB"/>
    <w:rsid w:val="00EA58DB"/>
    <w:rsid w:val="00EA7E54"/>
    <w:rsid w:val="00EB7578"/>
    <w:rsid w:val="00EC5B68"/>
    <w:rsid w:val="00ED4FF5"/>
    <w:rsid w:val="00ED6A0D"/>
    <w:rsid w:val="00EE48A0"/>
    <w:rsid w:val="00EE6C65"/>
    <w:rsid w:val="00F07C5A"/>
    <w:rsid w:val="00F12D73"/>
    <w:rsid w:val="00F15E03"/>
    <w:rsid w:val="00F27343"/>
    <w:rsid w:val="00F33102"/>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iPriority w:val="99"/>
    <w:semiHidden/>
    <w:unhideWhenUsed/>
    <w:rsid w:val="00EA7E54"/>
    <w:rPr>
      <w:sz w:val="16"/>
      <w:szCs w:val="16"/>
    </w:rPr>
  </w:style>
  <w:style w:type="paragraph" w:styleId="CommentText">
    <w:name w:val="annotation text"/>
    <w:basedOn w:val="Normal"/>
    <w:link w:val="CommentTextChar"/>
    <w:uiPriority w:val="99"/>
    <w:semiHidden/>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semiHidden/>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2021-02-08T13:14:00Z</dcterms:created>
  <dcterms:modified xsi:type="dcterms:W3CDTF">2021-09-10T14:48:00Z</dcterms:modified>
</cp:coreProperties>
</file>