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931D7" w14:textId="47003A73"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856896" w:rsidRPr="00856896">
        <w:rPr>
          <w:b/>
          <w:bCs/>
          <w:sz w:val="24"/>
          <w:szCs w:val="24"/>
          <w:lang w:bidi="hr-HR"/>
        </w:rPr>
        <w:t>ALUFLEXPACK NOVI d.o.o.</w:t>
      </w:r>
    </w:p>
    <w:p w14:paraId="11F88347" w14:textId="67DFD1B8" w:rsidR="0087795A" w:rsidRPr="0087795A" w:rsidRDefault="00AA38CE" w:rsidP="00F417BE">
      <w:pPr>
        <w:keepLines/>
        <w:rPr>
          <w:b/>
          <w:color w:val="000000"/>
          <w:sz w:val="24"/>
          <w:szCs w:val="24"/>
          <w:lang w:bidi="hr-HR"/>
        </w:rPr>
      </w:pPr>
      <w:r w:rsidRPr="00364C3D">
        <w:rPr>
          <w:rFonts w:ascii="Akkurat Light Pro" w:hAnsi="Akkurat Light Pro" w:cs="Calibri"/>
          <w:b/>
        </w:rPr>
        <w:t>Subject of procurement/</w:t>
      </w:r>
      <w:r w:rsidR="00653357" w:rsidRPr="00364C3D">
        <w:rPr>
          <w:rFonts w:ascii="Akkurat Light Pro" w:hAnsi="Akkurat Light Pro" w:cs="Calibri"/>
          <w:b/>
          <w:i/>
          <w:iCs/>
          <w:color w:val="808080" w:themeColor="background1" w:themeShade="80"/>
        </w:rPr>
        <w:t>P</w:t>
      </w:r>
      <w:r w:rsidR="00A22034" w:rsidRPr="00364C3D">
        <w:rPr>
          <w:rFonts w:ascii="Akkurat Light Pro" w:hAnsi="Akkurat Light Pro" w:cs="Calibri"/>
          <w:b/>
          <w:i/>
          <w:iCs/>
          <w:color w:val="808080" w:themeColor="background1" w:themeShade="80"/>
        </w:rPr>
        <w:t>redmet nabave</w:t>
      </w:r>
      <w:r w:rsidR="00653357" w:rsidRPr="00364C3D">
        <w:rPr>
          <w:b/>
          <w:smallCaps/>
          <w:sz w:val="24"/>
          <w:szCs w:val="24"/>
        </w:rPr>
        <w:t>:</w:t>
      </w:r>
      <w:r w:rsidR="002F3762" w:rsidRPr="00364C3D">
        <w:rPr>
          <w:b/>
          <w:smallCaps/>
          <w:sz w:val="24"/>
          <w:szCs w:val="24"/>
        </w:rPr>
        <w:t xml:space="preserve"> </w:t>
      </w:r>
      <w:bookmarkStart w:id="0" w:name="_Hlk73438381"/>
      <w:r w:rsidR="00AF6F95" w:rsidRPr="00AF6F95">
        <w:rPr>
          <w:rFonts w:ascii="Akkurat Light Pro" w:hAnsi="Akkurat Light Pro" w:cs="Calibri"/>
          <w:b/>
          <w:bCs/>
          <w:i/>
          <w:iCs/>
          <w:lang w:bidi="hr-HR"/>
        </w:rPr>
        <w:t>Infra-red online equipment for wet coating Cr and Zr</w:t>
      </w:r>
      <w:bookmarkEnd w:id="0"/>
      <w:r w:rsidR="00AF6F95" w:rsidRPr="00AF6F95">
        <w:rPr>
          <w:rFonts w:ascii="Akkurat Light Pro" w:hAnsi="Akkurat Light Pro" w:cs="Calibri"/>
          <w:b/>
          <w:bCs/>
          <w:i/>
          <w:iCs/>
          <w:lang w:bidi="hr-HR"/>
        </w:rPr>
        <w:t xml:space="preserve"> </w:t>
      </w:r>
      <w:r w:rsidR="00DC767E" w:rsidRPr="00364C3D">
        <w:rPr>
          <w:rFonts w:ascii="Akkurat Light Pro" w:hAnsi="Akkurat Light Pro" w:cs="Calibri"/>
          <w:b/>
        </w:rPr>
        <w:t>/</w:t>
      </w:r>
      <w:bookmarkStart w:id="1" w:name="_Hlk45025498"/>
      <w:r w:rsidR="000C702F" w:rsidRPr="00364C3D">
        <w:rPr>
          <w:rFonts w:ascii="Calibri Light" w:eastAsia="Times New Roman" w:hAnsi="Calibri Light" w:cs="Calibri Light"/>
          <w:b/>
          <w:i/>
          <w:iCs/>
          <w:color w:val="808080" w:themeColor="background1" w:themeShade="80"/>
          <w:lang w:eastAsia="hr-HR" w:bidi="hr-HR"/>
        </w:rPr>
        <w:t xml:space="preserve"> </w:t>
      </w:r>
      <w:bookmarkEnd w:id="1"/>
      <w:r w:rsidR="00ED73A2" w:rsidRPr="00ED73A2">
        <w:rPr>
          <w:rFonts w:ascii="Akkurat Light Pro" w:hAnsi="Akkurat Light Pro" w:cs="Calibri"/>
          <w:b/>
          <w:bCs/>
          <w:i/>
          <w:iCs/>
          <w:color w:val="808080" w:themeColor="background1" w:themeShade="80"/>
          <w:lang w:bidi="hr-HR"/>
        </w:rPr>
        <w:t xml:space="preserve">Infra-red online uređaj za mokro mjerenje Cr i Zr </w:t>
      </w:r>
      <w:r w:rsidRPr="00364C3D">
        <w:rPr>
          <w:rFonts w:ascii="Akkurat Light Pro" w:hAnsi="Akkurat Light Pro" w:cs="Calibri"/>
          <w:b/>
        </w:rPr>
        <w:t>Procurement number</w:t>
      </w:r>
      <w:r w:rsidRPr="00364C3D">
        <w:rPr>
          <w:rFonts w:ascii="Akkurat Light Pro" w:hAnsi="Akkurat Light Pro" w:cs="Calibri"/>
          <w:b/>
          <w:i/>
          <w:iCs/>
        </w:rPr>
        <w:t>/</w:t>
      </w:r>
      <w:r w:rsidR="00653357" w:rsidRPr="00364C3D">
        <w:rPr>
          <w:rFonts w:ascii="Akkurat Light Pro" w:hAnsi="Akkurat Light Pro" w:cs="Calibri"/>
          <w:b/>
          <w:i/>
          <w:iCs/>
          <w:color w:val="808080" w:themeColor="background1" w:themeShade="80"/>
        </w:rPr>
        <w:t>Evidencijski broj nabave</w:t>
      </w:r>
      <w:r w:rsidR="00653357" w:rsidRPr="00364C3D">
        <w:rPr>
          <w:rFonts w:ascii="Akkurat Light Pro" w:hAnsi="Akkurat Light Pro" w:cs="Calibri"/>
          <w:b/>
        </w:rPr>
        <w:t>:</w:t>
      </w:r>
      <w:r w:rsidR="00653357" w:rsidRPr="00364C3D">
        <w:rPr>
          <w:color w:val="000000"/>
          <w:sz w:val="24"/>
          <w:szCs w:val="24"/>
        </w:rPr>
        <w:t xml:space="preserve"> </w:t>
      </w:r>
      <w:r w:rsidR="000F1532" w:rsidRPr="00364C3D">
        <w:rPr>
          <w:b/>
          <w:color w:val="000000"/>
          <w:sz w:val="24"/>
          <w:szCs w:val="24"/>
          <w:lang w:bidi="hr-HR"/>
        </w:rPr>
        <w:t>0</w:t>
      </w:r>
      <w:r w:rsidR="00ED73A2">
        <w:rPr>
          <w:b/>
          <w:color w:val="000000"/>
          <w:sz w:val="24"/>
          <w:szCs w:val="24"/>
          <w:lang w:bidi="hr-HR"/>
        </w:rPr>
        <w:t>8</w:t>
      </w:r>
      <w:r w:rsidR="004910CF" w:rsidRPr="00364C3D">
        <w:rPr>
          <w:b/>
          <w:color w:val="000000"/>
          <w:sz w:val="24"/>
          <w:szCs w:val="24"/>
          <w:lang w:bidi="hr-HR"/>
        </w:rPr>
        <w:t>/2021</w:t>
      </w:r>
      <w:r w:rsidR="0087795A" w:rsidRPr="0087795A">
        <w:rPr>
          <w:b/>
          <w:color w:val="000000"/>
          <w:sz w:val="24"/>
          <w:szCs w:val="24"/>
          <w:lang w:bidi="hr-HR"/>
        </w:rPr>
        <w:t xml:space="preserve">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Name of the Tenderer/</w:t>
            </w:r>
            <w:r w:rsidR="00EB18A1" w:rsidRPr="00A22034">
              <w:rPr>
                <w:rFonts w:ascii="Akkurat Light Pro" w:hAnsi="Akkurat Light Pro" w:cs="Calibri"/>
                <w:b/>
                <w:i/>
                <w:iCs/>
                <w:color w:val="808080" w:themeColor="background1" w:themeShade="80"/>
              </w:rPr>
              <w:t>Naziv ponuditelja</w:t>
            </w:r>
          </w:p>
        </w:tc>
        <w:tc>
          <w:tcPr>
            <w:tcW w:w="4977" w:type="dxa"/>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Adress/</w:t>
            </w:r>
            <w:r w:rsidR="00EB18A1" w:rsidRPr="00A22034">
              <w:rPr>
                <w:rFonts w:ascii="Akkurat Light Pro" w:hAnsi="Akkurat Light Pro" w:cs="Calibri"/>
                <w:b/>
                <w:i/>
                <w:iCs/>
                <w:color w:val="808080" w:themeColor="background1" w:themeShade="80"/>
              </w:rPr>
              <w:t>Adresa ponuditelja</w:t>
            </w:r>
          </w:p>
        </w:tc>
        <w:tc>
          <w:tcPr>
            <w:tcW w:w="4977" w:type="dxa"/>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VAT number/</w:t>
            </w:r>
            <w:r w:rsidR="00EB18A1" w:rsidRPr="00A22034">
              <w:rPr>
                <w:rFonts w:ascii="Akkurat Light Pro" w:hAnsi="Akkurat Light Pro" w:cs="Calibri"/>
                <w:b/>
                <w:i/>
                <w:iCs/>
                <w:color w:val="808080" w:themeColor="background1" w:themeShade="80"/>
              </w:rPr>
              <w:t>OIB</w:t>
            </w:r>
          </w:p>
        </w:tc>
        <w:tc>
          <w:tcPr>
            <w:tcW w:w="4977" w:type="dxa"/>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Bank account IBAN/</w:t>
            </w:r>
            <w:r w:rsidR="00EB18A1" w:rsidRPr="00A22034">
              <w:rPr>
                <w:rFonts w:ascii="Akkurat Light Pro" w:hAnsi="Akkurat Light Pro" w:cs="Calibri"/>
                <w:b/>
                <w:i/>
                <w:iCs/>
                <w:color w:val="808080" w:themeColor="background1" w:themeShade="80"/>
              </w:rPr>
              <w:t>IBAN</w:t>
            </w:r>
          </w:p>
        </w:tc>
        <w:tc>
          <w:tcPr>
            <w:tcW w:w="4977" w:type="dxa"/>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DB1C90" w:rsidRPr="000A2EE2" w14:paraId="0720909C" w14:textId="77777777" w:rsidTr="00A35D8F">
        <w:trPr>
          <w:jc w:val="center"/>
        </w:trPr>
        <w:tc>
          <w:tcPr>
            <w:tcW w:w="5009" w:type="dxa"/>
            <w:tcBorders>
              <w:top w:val="nil"/>
              <w:left w:val="nil"/>
              <w:bottom w:val="nil"/>
              <w:right w:val="nil"/>
            </w:tcBorders>
          </w:tcPr>
          <w:p w14:paraId="01C9E598" w14:textId="77777777" w:rsidR="00DB1C90" w:rsidRPr="00A479B8" w:rsidRDefault="00DB1C90" w:rsidP="008B122E">
            <w:pPr>
              <w:spacing w:before="120" w:line="240" w:lineRule="auto"/>
              <w:jc w:val="both"/>
              <w:rPr>
                <w:rFonts w:ascii="Akkurat Light Pro" w:hAnsi="Akkurat Light Pro" w:cs="Calibri"/>
                <w:b/>
              </w:rPr>
            </w:pPr>
            <w:r w:rsidRPr="00A479B8">
              <w:rPr>
                <w:rFonts w:ascii="Akkurat Light Pro" w:hAnsi="Akkurat Light Pro" w:cs="Calibri"/>
                <w:b/>
              </w:rPr>
              <w:t>Tenderer in VAT system (YES/NO)</w:t>
            </w:r>
          </w:p>
          <w:p w14:paraId="3979AC85" w14:textId="77777777" w:rsidR="00DB1C90" w:rsidRPr="000A2EE2" w:rsidRDefault="00DB1C90"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0A2EE2" w:rsidRDefault="00DB1C90"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Mailing adress/</w:t>
            </w:r>
            <w:r w:rsidR="00EB18A1" w:rsidRPr="00A22034">
              <w:rPr>
                <w:rFonts w:ascii="Akkurat Light Pro" w:hAnsi="Akkurat Light Pro" w:cs="Calibri"/>
                <w:b/>
                <w:i/>
                <w:iCs/>
                <w:color w:val="808080" w:themeColor="background1" w:themeShade="80"/>
              </w:rPr>
              <w:t>Adresa za dostavu pošte</w:t>
            </w:r>
          </w:p>
        </w:tc>
        <w:tc>
          <w:tcPr>
            <w:tcW w:w="4977" w:type="dxa"/>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r w:rsidRPr="00A479B8">
              <w:rPr>
                <w:rFonts w:ascii="Akkurat Light Pro" w:hAnsi="Akkurat Light Pro" w:cs="Calibri"/>
                <w:b/>
              </w:rPr>
              <w:t>Contact person</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Telephone/</w:t>
            </w:r>
            <w:r w:rsidR="00EB18A1" w:rsidRPr="00A22034">
              <w:rPr>
                <w:rFonts w:ascii="Akkurat Light Pro" w:hAnsi="Akkurat Light Pro" w:cs="Calibri"/>
                <w:b/>
                <w:i/>
                <w:iCs/>
                <w:color w:val="808080" w:themeColor="background1" w:themeShade="80"/>
              </w:rPr>
              <w:t>Telefon</w:t>
            </w:r>
          </w:p>
        </w:tc>
        <w:tc>
          <w:tcPr>
            <w:tcW w:w="4977" w:type="dxa"/>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Tender number/</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Tender validity period from the deadline for submission of tenders/</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Tender currency/</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Price (VAT not included)</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r w:rsidRPr="00A479B8">
              <w:rPr>
                <w:rFonts w:ascii="Akkurat Light Pro" w:hAnsi="Akkurat Light Pro" w:cs="Calibri"/>
                <w:b/>
              </w:rPr>
              <w:t>Amount of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Total price (VAT included)</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r w:rsidRPr="00A479B8">
        <w:rPr>
          <w:rFonts w:ascii="Akkurat Light Pro" w:hAnsi="Akkurat Light Pro" w:cs="Calibri"/>
          <w:b/>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Place and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signature of the authorized person</w:t>
      </w:r>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25E8C" w14:textId="77777777" w:rsidR="00273306" w:rsidRDefault="00273306" w:rsidP="0079167F">
      <w:pPr>
        <w:spacing w:after="0" w:line="240" w:lineRule="auto"/>
      </w:pPr>
      <w:r>
        <w:separator/>
      </w:r>
    </w:p>
  </w:endnote>
  <w:endnote w:type="continuationSeparator" w:id="0">
    <w:p w14:paraId="746477BB" w14:textId="77777777" w:rsidR="00273306" w:rsidRDefault="00273306"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ambria"/>
    <w:panose1 w:val="00000000000000000000"/>
    <w:charset w:val="00"/>
    <w:family w:val="modern"/>
    <w:notTrueType/>
    <w:pitch w:val="variable"/>
    <w:sig w:usb0="800000AF"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CDB6" w14:textId="02DC2889" w:rsidR="00CC44A6" w:rsidRPr="00CC44A6" w:rsidRDefault="009979DE" w:rsidP="00CC44A6">
    <w:pPr>
      <w:tabs>
        <w:tab w:val="center" w:pos="4536"/>
        <w:tab w:val="right" w:pos="9072"/>
      </w:tabs>
      <w:spacing w:after="0" w:line="240" w:lineRule="auto"/>
      <w:jc w:val="center"/>
      <w:rPr>
        <w:rFonts w:ascii="Akkurat Light Pro" w:eastAsia="Times New Roman" w:hAnsi="Akkurat Light Pro" w:cs="Times New Roman"/>
        <w:b/>
        <w:bCs/>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 xml:space="preserve">ržaj ovog materijala isključivo je odgovornost tvrtke </w:t>
    </w:r>
    <w:r w:rsidR="00CC44A6" w:rsidRPr="00CC44A6">
      <w:rPr>
        <w:rFonts w:ascii="Akkurat Light Pro" w:eastAsia="Times New Roman" w:hAnsi="Akkurat Light Pro" w:cs="Times New Roman"/>
        <w:b/>
        <w:bCs/>
        <w:noProof/>
        <w:sz w:val="14"/>
        <w:szCs w:val="14"/>
        <w:lang w:eastAsia="hr-HR" w:bidi="hr-HR"/>
      </w:rPr>
      <w:t>ALUFLEXPACK NOVI d.o.</w:t>
    </w:r>
    <w:r w:rsidR="002D6A41">
      <w:rPr>
        <w:rFonts w:ascii="Akkurat Light Pro" w:eastAsia="Times New Roman" w:hAnsi="Akkurat Light Pro" w:cs="Times New Roman"/>
        <w:b/>
        <w:bCs/>
        <w:noProof/>
        <w:sz w:val="14"/>
        <w:szCs w:val="14"/>
        <w:lang w:eastAsia="hr-HR" w:bidi="hr-HR"/>
      </w:rPr>
      <w:t>o.</w:t>
    </w:r>
  </w:p>
  <w:p w14:paraId="170988B8" w14:textId="53E4FDCC" w:rsidR="003F3291" w:rsidRPr="002D6A41" w:rsidRDefault="009979DE"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9979DE">
      <w:rPr>
        <w:rFonts w:ascii="Akkurat Light Pro" w:eastAsia="Times New Roman" w:hAnsi="Akkurat Light Pro" w:cstheme="majorHAnsi"/>
        <w:color w:val="808080" w:themeColor="background1" w:themeShade="80"/>
        <w:sz w:val="14"/>
        <w:szCs w:val="14"/>
        <w:lang w:eastAsia="hr-HR" w:bidi="hr-HR"/>
      </w:rPr>
      <w:t xml:space="preserve">Legal notice: Content of this document is the sole responsibility of </w:t>
    </w:r>
    <w:r w:rsidR="002D6A41" w:rsidRPr="002D6A41">
      <w:rPr>
        <w:rFonts w:ascii="Akkurat Light Pro" w:eastAsia="Times New Roman" w:hAnsi="Akkurat Light Pro" w:cstheme="majorHAnsi"/>
        <w:b/>
        <w:bCs/>
        <w:color w:val="808080" w:themeColor="background1" w:themeShade="80"/>
        <w:sz w:val="14"/>
        <w:szCs w:val="14"/>
        <w:lang w:eastAsia="hr-HR" w:bidi="hr-HR"/>
      </w:rPr>
      <w:t>ALUFLEXPACK NOVI d.o.o</w:t>
    </w:r>
    <w:r w:rsidR="002D6A41" w:rsidRPr="002D6A41">
      <w:rPr>
        <w:rFonts w:ascii="Akkurat Light Pro" w:eastAsia="Times New Roman" w:hAnsi="Akkurat Light Pro" w:cstheme="majorHAnsi"/>
        <w:color w:val="808080" w:themeColor="background1" w:themeShade="80"/>
        <w:sz w:val="14"/>
        <w:szCs w:val="14"/>
        <w:lang w:eastAsia="hr-HR" w:bidi="hr-HR"/>
      </w:rPr>
      <w:t xml:space="preserve"> </w:t>
    </w:r>
    <w:r w:rsidR="00AB18E4" w:rsidRPr="0007542E">
      <w:rPr>
        <w:noProof/>
        <w:lang w:eastAsia="hr-HR"/>
      </w:rPr>
      <w:drawing>
        <wp:anchor distT="0" distB="0" distL="114300" distR="114300" simplePos="0" relativeHeight="251659264" behindDoc="1" locked="0" layoutInCell="1" allowOverlap="1" wp14:anchorId="0F97C985" wp14:editId="07B53DE4">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571B" w14:textId="77777777" w:rsidR="00273306" w:rsidRDefault="00273306" w:rsidP="0079167F">
      <w:pPr>
        <w:spacing w:after="0" w:line="240" w:lineRule="auto"/>
      </w:pPr>
      <w:r>
        <w:separator/>
      </w:r>
    </w:p>
  </w:footnote>
  <w:footnote w:type="continuationSeparator" w:id="0">
    <w:p w14:paraId="11E4E531" w14:textId="77777777" w:rsidR="00273306" w:rsidRDefault="00273306"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45485" w14:textId="56962CE7" w:rsidR="008A0687" w:rsidRPr="00E87BCC" w:rsidRDefault="008A0687" w:rsidP="0079167F">
    <w:pPr>
      <w:tabs>
        <w:tab w:val="center" w:pos="4536"/>
        <w:tab w:val="right" w:pos="9072"/>
      </w:tabs>
    </w:pPr>
    <w:r>
      <w:rPr>
        <w:b/>
        <w:color w:val="808080"/>
      </w:rPr>
      <w:t xml:space="preserve">Annex </w:t>
    </w:r>
    <w:r w:rsidR="00AA38CE">
      <w:rPr>
        <w:b/>
        <w:color w:val="808080"/>
      </w:rPr>
      <w:t>1/Prilog 1</w:t>
    </w:r>
    <w:r>
      <w:rPr>
        <w:b/>
        <w:color w:val="808080"/>
      </w:rPr>
      <w:tab/>
    </w:r>
    <w:r>
      <w:tab/>
    </w:r>
    <w:r w:rsidR="00110473" w:rsidRPr="00364C3D">
      <w:rPr>
        <w:b/>
        <w:color w:val="808080"/>
      </w:rPr>
      <w:t>EV: 0</w:t>
    </w:r>
    <w:r w:rsidR="00ED73A2">
      <w:rPr>
        <w:b/>
        <w:color w:val="808080"/>
      </w:rPr>
      <w:t>8</w:t>
    </w:r>
    <w:r w:rsidR="00110473" w:rsidRPr="00364C3D">
      <w:rPr>
        <w:b/>
        <w:color w:val="808080"/>
      </w:rPr>
      <w:t>/</w:t>
    </w:r>
    <w:r w:rsidR="004910CF" w:rsidRPr="00364C3D">
      <w:rPr>
        <w:b/>
        <w:color w:val="808080"/>
      </w:rPr>
      <w:t>2021</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24CBE"/>
    <w:rsid w:val="00237135"/>
    <w:rsid w:val="00273306"/>
    <w:rsid w:val="002B4173"/>
    <w:rsid w:val="002D3E80"/>
    <w:rsid w:val="002D6A41"/>
    <w:rsid w:val="002E623E"/>
    <w:rsid w:val="002F3762"/>
    <w:rsid w:val="00310C16"/>
    <w:rsid w:val="00325025"/>
    <w:rsid w:val="00326591"/>
    <w:rsid w:val="003357B8"/>
    <w:rsid w:val="00336B5C"/>
    <w:rsid w:val="0034365D"/>
    <w:rsid w:val="00364C3D"/>
    <w:rsid w:val="003735B6"/>
    <w:rsid w:val="0038460A"/>
    <w:rsid w:val="00386ECB"/>
    <w:rsid w:val="003B0920"/>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4A52"/>
    <w:rsid w:val="00AE7DFD"/>
    <w:rsid w:val="00AF0657"/>
    <w:rsid w:val="00AF4866"/>
    <w:rsid w:val="00AF6F95"/>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45BC4"/>
    <w:rsid w:val="00C50655"/>
    <w:rsid w:val="00C617E2"/>
    <w:rsid w:val="00C64E6A"/>
    <w:rsid w:val="00C77D1C"/>
    <w:rsid w:val="00C83352"/>
    <w:rsid w:val="00CA05C9"/>
    <w:rsid w:val="00CC44A6"/>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7725"/>
    <w:rsid w:val="00E2048A"/>
    <w:rsid w:val="00E26288"/>
    <w:rsid w:val="00E30B2E"/>
    <w:rsid w:val="00E57963"/>
    <w:rsid w:val="00E66099"/>
    <w:rsid w:val="00E72A80"/>
    <w:rsid w:val="00E96FD5"/>
    <w:rsid w:val="00EA5570"/>
    <w:rsid w:val="00EB0065"/>
    <w:rsid w:val="00EB18A1"/>
    <w:rsid w:val="00EB6B91"/>
    <w:rsid w:val="00ED28E6"/>
    <w:rsid w:val="00ED73A2"/>
    <w:rsid w:val="00F330E9"/>
    <w:rsid w:val="00F4156D"/>
    <w:rsid w:val="00F417BE"/>
    <w:rsid w:val="00F52EE7"/>
    <w:rsid w:val="00F55576"/>
    <w:rsid w:val="00F55D9D"/>
    <w:rsid w:val="00F6155A"/>
    <w:rsid w:val="00F62029"/>
    <w:rsid w:val="00F703CD"/>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 w:id="213945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97315-F2A6-48D5-9DA6-0FED95C27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2021-03-11T14:50:00Z</dcterms:created>
  <dcterms:modified xsi:type="dcterms:W3CDTF">2021-06-07T09:26:00Z</dcterms:modified>
</cp:coreProperties>
</file>