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E7" w:rsidRDefault="0012420D">
      <w:r w:rsidRPr="0012420D">
        <w:rPr>
          <w:b/>
          <w:bCs/>
        </w:rPr>
        <w:t>Prilog III</w:t>
      </w:r>
      <w:r>
        <w:t>. – Tehnička specifikacija</w:t>
      </w:r>
    </w:p>
    <w:p w:rsidR="0012420D" w:rsidRPr="0012420D" w:rsidRDefault="0012420D" w:rsidP="0012420D">
      <w:pPr>
        <w:autoSpaceDE w:val="0"/>
        <w:autoSpaceDN w:val="0"/>
        <w:adjustRightInd w:val="0"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Predmet nabave: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C278C">
        <w:rPr>
          <w:rFonts w:ascii="Times New Roman" w:eastAsia="Times New Roman" w:hAnsi="Times New Roman" w:cs="Times New Roman"/>
          <w:sz w:val="24"/>
          <w:szCs w:val="24"/>
          <w:lang w:eastAsia="hr-HR"/>
        </w:rPr>
        <w:t>SIGNAL GENERATOR</w:t>
      </w:r>
    </w:p>
    <w:p w:rsidR="0012420D" w:rsidRPr="0012420D" w:rsidRDefault="0012420D" w:rsidP="001242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theme="minorHAnsi"/>
          <w:spacing w:val="3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Naziv projekta: </w:t>
      </w:r>
      <w:r w:rsidRPr="0012420D">
        <w:rPr>
          <w:rFonts w:ascii="Times New Roman" w:eastAsia="Calibri" w:hAnsi="Times New Roman" w:cstheme="minorHAnsi"/>
          <w:sz w:val="24"/>
          <w:szCs w:val="24"/>
          <w:lang w:eastAsia="hr-HR"/>
        </w:rPr>
        <w:t>„</w:t>
      </w:r>
      <w:r w:rsidRPr="0012420D">
        <w:rPr>
          <w:rFonts w:ascii="Times New Roman" w:eastAsia="Times New Roman" w:hAnsi="Times New Roman" w:cstheme="minorHAnsi"/>
          <w:b/>
          <w:color w:val="808080"/>
          <w:sz w:val="24"/>
          <w:szCs w:val="24"/>
          <w:lang w:eastAsia="hr-HR"/>
        </w:rPr>
        <w:t xml:space="preserve">Višenamjenski punjač TITAN“  </w:t>
      </w:r>
      <w:r w:rsidRPr="0012420D">
        <w:rPr>
          <w:rFonts w:ascii="Times New Roman" w:eastAsia="Times New Roman" w:hAnsi="Times New Roman" w:cstheme="minorHAnsi"/>
          <w:bCs/>
          <w:sz w:val="24"/>
          <w:szCs w:val="24"/>
          <w:lang w:eastAsia="hr-HR"/>
        </w:rPr>
        <w:t>sukladno</w:t>
      </w:r>
      <w:r w:rsidRPr="0012420D">
        <w:rPr>
          <w:rFonts w:ascii="Times New Roman" w:eastAsia="Calibri" w:hAnsi="Times New Roman" w:cstheme="minorHAnsi"/>
          <w:sz w:val="24"/>
          <w:szCs w:val="24"/>
          <w:lang w:eastAsia="hr-HR"/>
        </w:rPr>
        <w:t xml:space="preserve"> Pozivu za dostavu projektnih prijava Inovacije novoosnovanih MSP-ova – II faza</w:t>
      </w:r>
      <w:r w:rsidRPr="0012420D">
        <w:rPr>
          <w:rFonts w:ascii="Times New Roman" w:eastAsia="Times New Roman" w:hAnsi="Times New Roman" w:cstheme="minorHAnsi"/>
          <w:spacing w:val="3"/>
          <w:sz w:val="24"/>
          <w:szCs w:val="24"/>
          <w:lang w:eastAsia="hr-HR"/>
        </w:rPr>
        <w:t xml:space="preserve"> , Referentne oznake: KK.03.2.2.04 Operativni program Konkurentnost i kohezija 2014.-2020.</w:t>
      </w:r>
    </w:p>
    <w:p w:rsidR="0012420D" w:rsidRPr="0012420D" w:rsidRDefault="0012420D" w:rsidP="001242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</w:pPr>
    </w:p>
    <w:p w:rsidR="0012420D" w:rsidRPr="0012420D" w:rsidRDefault="0012420D" w:rsidP="0012420D">
      <w:pPr>
        <w:autoSpaceDE w:val="0"/>
        <w:autoSpaceDN w:val="0"/>
        <w:adjustRightInd w:val="0"/>
        <w:spacing w:after="0" w:line="360" w:lineRule="auto"/>
        <w:ind w:left="1418" w:hanging="141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Broj nabave: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</w:t>
      </w:r>
      <w:r w:rsidR="007C278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>/2021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662"/>
        <w:gridCol w:w="3857"/>
        <w:gridCol w:w="4526"/>
        <w:gridCol w:w="2832"/>
        <w:gridCol w:w="2406"/>
      </w:tblGrid>
      <w:tr w:rsidR="00311590" w:rsidTr="004B7633">
        <w:tc>
          <w:tcPr>
            <w:tcW w:w="4519" w:type="dxa"/>
            <w:gridSpan w:val="2"/>
          </w:tcPr>
          <w:p w:rsidR="00311590" w:rsidRPr="008931D7" w:rsidRDefault="00311590">
            <w:pPr>
              <w:rPr>
                <w:b/>
                <w:bCs/>
              </w:rPr>
            </w:pPr>
            <w:r w:rsidRPr="008931D7">
              <w:rPr>
                <w:b/>
                <w:bCs/>
              </w:rPr>
              <w:t>Proizvođač:</w:t>
            </w:r>
          </w:p>
        </w:tc>
        <w:tc>
          <w:tcPr>
            <w:tcW w:w="9764" w:type="dxa"/>
            <w:gridSpan w:val="3"/>
          </w:tcPr>
          <w:p w:rsidR="00311590" w:rsidRDefault="00311590"/>
        </w:tc>
      </w:tr>
      <w:tr w:rsidR="00311590" w:rsidTr="00F923AC">
        <w:tc>
          <w:tcPr>
            <w:tcW w:w="4519" w:type="dxa"/>
            <w:gridSpan w:val="2"/>
          </w:tcPr>
          <w:p w:rsidR="00311590" w:rsidRPr="008931D7" w:rsidRDefault="00311590">
            <w:pPr>
              <w:rPr>
                <w:b/>
                <w:bCs/>
              </w:rPr>
            </w:pPr>
            <w:r w:rsidRPr="008931D7">
              <w:rPr>
                <w:b/>
                <w:bCs/>
              </w:rPr>
              <w:t>Tip:</w:t>
            </w:r>
          </w:p>
        </w:tc>
        <w:tc>
          <w:tcPr>
            <w:tcW w:w="9764" w:type="dxa"/>
            <w:gridSpan w:val="3"/>
          </w:tcPr>
          <w:p w:rsidR="00311590" w:rsidRDefault="00311590"/>
        </w:tc>
      </w:tr>
      <w:tr w:rsidR="00084858" w:rsidTr="00C1686A">
        <w:tc>
          <w:tcPr>
            <w:tcW w:w="14283" w:type="dxa"/>
            <w:gridSpan w:val="5"/>
          </w:tcPr>
          <w:p w:rsidR="00084858" w:rsidRDefault="00084858"/>
        </w:tc>
      </w:tr>
      <w:tr w:rsidR="00990B53" w:rsidTr="00F923AC">
        <w:tc>
          <w:tcPr>
            <w:tcW w:w="662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R.br.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Zahtjevane tehničke specifikacije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12420D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Ponuđene tehničke specifikacije</w:t>
            </w:r>
          </w:p>
          <w:p w:rsidR="002D6071" w:rsidRPr="008931D7" w:rsidRDefault="002D60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32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Referenca na stranicu iz dostavljenog kataloga ili druge teh.dokumentacije</w:t>
            </w:r>
          </w:p>
        </w:tc>
        <w:tc>
          <w:tcPr>
            <w:tcW w:w="2406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color w:val="000000" w:themeColor="text1"/>
              </w:rPr>
            </w:pPr>
            <w:r w:rsidRPr="008931D7">
              <w:rPr>
                <w:color w:val="000000" w:themeColor="text1"/>
              </w:rPr>
              <w:t>Ispunjava naručitelj</w:t>
            </w:r>
          </w:p>
          <w:p w:rsidR="00BD1CEA" w:rsidRPr="008931D7" w:rsidRDefault="00BD1CEA" w:rsidP="00BD1CEA">
            <w:pPr>
              <w:rPr>
                <w:color w:val="000000" w:themeColor="text1"/>
              </w:rPr>
            </w:pPr>
            <w:r w:rsidRPr="008931D7">
              <w:rPr>
                <w:color w:val="000000" w:themeColor="text1"/>
              </w:rPr>
              <w:t>zadovoljava / nezadovoljava</w:t>
            </w:r>
          </w:p>
        </w:tc>
      </w:tr>
      <w:tr w:rsidR="00990B53" w:rsidTr="00177C9F">
        <w:tc>
          <w:tcPr>
            <w:tcW w:w="662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857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  <w:tc>
          <w:tcPr>
            <w:tcW w:w="2832" w:type="dxa"/>
            <w:shd w:val="clear" w:color="auto" w:fill="C6D9F1" w:themeFill="text2" w:themeFillTint="33"/>
          </w:tcPr>
          <w:p w:rsidR="00BD1CEA" w:rsidRPr="00311590" w:rsidRDefault="00BD1CEA">
            <w:pPr>
              <w:rPr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  <w:tc>
          <w:tcPr>
            <w:tcW w:w="2406" w:type="dxa"/>
            <w:shd w:val="clear" w:color="auto" w:fill="C6D9F1" w:themeFill="text2" w:themeFillTint="33"/>
          </w:tcPr>
          <w:p w:rsidR="00BD1CEA" w:rsidRPr="00311590" w:rsidRDefault="00BD1CEA">
            <w:pPr>
              <w:rPr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</w:tr>
      <w:tr w:rsidR="0066266B" w:rsidTr="00177C9F">
        <w:tc>
          <w:tcPr>
            <w:tcW w:w="662" w:type="dxa"/>
            <w:shd w:val="clear" w:color="auto" w:fill="C6D9F1" w:themeFill="text2" w:themeFillTint="33"/>
          </w:tcPr>
          <w:p w:rsidR="0066266B" w:rsidRDefault="0066266B">
            <w:r>
              <w:t>1.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  <w:t xml:space="preserve">Obilježja generiranog signala </w:t>
            </w:r>
          </w:p>
          <w:p w:rsidR="0066266B" w:rsidRPr="00990B53" w:rsidRDefault="0066266B" w:rsidP="000B52EF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66266B" w:rsidRDefault="0066266B"/>
        </w:tc>
        <w:tc>
          <w:tcPr>
            <w:tcW w:w="2832" w:type="dxa"/>
            <w:shd w:val="clear" w:color="auto" w:fill="C6D9F1" w:themeFill="text2" w:themeFillTint="33"/>
          </w:tcPr>
          <w:p w:rsidR="0066266B" w:rsidRDefault="0066266B"/>
        </w:tc>
        <w:tc>
          <w:tcPr>
            <w:tcW w:w="2406" w:type="dxa"/>
            <w:shd w:val="clear" w:color="auto" w:fill="C6D9F1" w:themeFill="text2" w:themeFillTint="33"/>
          </w:tcPr>
          <w:p w:rsidR="0066266B" w:rsidRDefault="0066266B"/>
        </w:tc>
      </w:tr>
      <w:tr w:rsidR="00990B53" w:rsidTr="00177C9F">
        <w:tc>
          <w:tcPr>
            <w:tcW w:w="662" w:type="dxa"/>
          </w:tcPr>
          <w:p w:rsidR="0012420D" w:rsidRDefault="0012420D">
            <w:r>
              <w:t>1.1.</w:t>
            </w:r>
          </w:p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 frekvencijski opseg signala: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 9Khz-6Ghz ili veći</w:t>
            </w:r>
          </w:p>
          <w:p w:rsidR="0012420D" w:rsidRPr="00990B53" w:rsidRDefault="0012420D" w:rsidP="000B52EF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</w:tcPr>
          <w:p w:rsidR="0012420D" w:rsidRDefault="0012420D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990B53" w:rsidTr="00177C9F">
        <w:tc>
          <w:tcPr>
            <w:tcW w:w="662" w:type="dxa"/>
          </w:tcPr>
          <w:p w:rsidR="0012420D" w:rsidRDefault="00084858">
            <w:r>
              <w:t>1.2</w:t>
            </w:r>
          </w:p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 razlučivost frekvencije izlaznog signala: 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 0.5Hz ili veća</w:t>
            </w:r>
          </w:p>
          <w:p w:rsidR="0012420D" w:rsidRPr="00990B53" w:rsidRDefault="0012420D"/>
        </w:tc>
        <w:tc>
          <w:tcPr>
            <w:tcW w:w="4526" w:type="dxa"/>
          </w:tcPr>
          <w:p w:rsidR="0012420D" w:rsidRDefault="0012420D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990B53" w:rsidTr="00177C9F">
        <w:trPr>
          <w:trHeight w:val="329"/>
        </w:trPr>
        <w:tc>
          <w:tcPr>
            <w:tcW w:w="662" w:type="dxa"/>
          </w:tcPr>
          <w:p w:rsidR="0012420D" w:rsidRDefault="00084858">
            <w:r>
              <w:t>1.3.</w:t>
            </w:r>
          </w:p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 snaga izlaznog signala raspona : 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-100dBm do 0dBm ili većeg</w:t>
            </w:r>
          </w:p>
          <w:p w:rsidR="0012420D" w:rsidRPr="00990B53" w:rsidRDefault="0012420D"/>
        </w:tc>
        <w:tc>
          <w:tcPr>
            <w:tcW w:w="4526" w:type="dxa"/>
          </w:tcPr>
          <w:p w:rsidR="0012420D" w:rsidRDefault="0012420D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990B53" w:rsidTr="00177C9F">
        <w:tc>
          <w:tcPr>
            <w:tcW w:w="662" w:type="dxa"/>
          </w:tcPr>
          <w:p w:rsidR="0012420D" w:rsidRDefault="00084858">
            <w:r>
              <w:t>1.4.</w:t>
            </w:r>
          </w:p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 preciznost izlaznog signala :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minimalno +/- 1.0dB</w:t>
            </w:r>
          </w:p>
          <w:p w:rsidR="0012420D" w:rsidRPr="00990B53" w:rsidRDefault="0012420D"/>
        </w:tc>
        <w:tc>
          <w:tcPr>
            <w:tcW w:w="4526" w:type="dxa"/>
          </w:tcPr>
          <w:p w:rsidR="0012420D" w:rsidRDefault="0012420D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990B53" w:rsidTr="00177C9F">
        <w:tc>
          <w:tcPr>
            <w:tcW w:w="662" w:type="dxa"/>
          </w:tcPr>
          <w:p w:rsidR="0012420D" w:rsidRDefault="00084858">
            <w:r>
              <w:t>1.5.</w:t>
            </w:r>
          </w:p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 razlučivost izlaznog signala : 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0.1dB ili bolja</w:t>
            </w:r>
          </w:p>
          <w:p w:rsidR="0012420D" w:rsidRPr="00990B53" w:rsidRDefault="0012420D" w:rsidP="00084858"/>
        </w:tc>
        <w:tc>
          <w:tcPr>
            <w:tcW w:w="4526" w:type="dxa"/>
          </w:tcPr>
          <w:p w:rsidR="0012420D" w:rsidRDefault="0012420D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7C278C" w:rsidTr="00177C9F">
        <w:tc>
          <w:tcPr>
            <w:tcW w:w="662" w:type="dxa"/>
          </w:tcPr>
          <w:p w:rsidR="007C278C" w:rsidRDefault="007C278C"/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-nivo faznog šuma signala (1GHz): -100dBc/Hz ili manje (na 10kHz ) 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7C278C" w:rsidRDefault="007C278C"/>
        </w:tc>
        <w:tc>
          <w:tcPr>
            <w:tcW w:w="2832" w:type="dxa"/>
          </w:tcPr>
          <w:p w:rsidR="007C278C" w:rsidRDefault="007C278C"/>
        </w:tc>
        <w:tc>
          <w:tcPr>
            <w:tcW w:w="2406" w:type="dxa"/>
            <w:shd w:val="clear" w:color="auto" w:fill="C6D9F1" w:themeFill="text2" w:themeFillTint="33"/>
          </w:tcPr>
          <w:p w:rsidR="007C278C" w:rsidRDefault="007C278C"/>
        </w:tc>
      </w:tr>
      <w:tr w:rsidR="007C278C" w:rsidTr="00177C9F">
        <w:tc>
          <w:tcPr>
            <w:tcW w:w="662" w:type="dxa"/>
          </w:tcPr>
          <w:p w:rsidR="007C278C" w:rsidRDefault="007C278C"/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 valni oblik signala : 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sinusni, pravokutni, trokutasti, pilasti, raspona 0.1Hz-20kHz ili većeg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7C278C" w:rsidRDefault="007C278C"/>
        </w:tc>
        <w:tc>
          <w:tcPr>
            <w:tcW w:w="2832" w:type="dxa"/>
          </w:tcPr>
          <w:p w:rsidR="007C278C" w:rsidRDefault="007C278C"/>
        </w:tc>
        <w:tc>
          <w:tcPr>
            <w:tcW w:w="2406" w:type="dxa"/>
            <w:shd w:val="clear" w:color="auto" w:fill="C6D9F1" w:themeFill="text2" w:themeFillTint="33"/>
          </w:tcPr>
          <w:p w:rsidR="007C278C" w:rsidRDefault="007C278C"/>
        </w:tc>
      </w:tr>
      <w:tr w:rsidR="007C278C" w:rsidTr="00177C9F">
        <w:tc>
          <w:tcPr>
            <w:tcW w:w="662" w:type="dxa"/>
          </w:tcPr>
          <w:p w:rsidR="007C278C" w:rsidRDefault="007C278C"/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 interna referentna frekvencija :10Mhz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7C278C" w:rsidRDefault="007C278C"/>
        </w:tc>
        <w:tc>
          <w:tcPr>
            <w:tcW w:w="2832" w:type="dxa"/>
          </w:tcPr>
          <w:p w:rsidR="007C278C" w:rsidRDefault="007C278C"/>
        </w:tc>
        <w:tc>
          <w:tcPr>
            <w:tcW w:w="2406" w:type="dxa"/>
            <w:shd w:val="clear" w:color="auto" w:fill="C6D9F1" w:themeFill="text2" w:themeFillTint="33"/>
          </w:tcPr>
          <w:p w:rsidR="007C278C" w:rsidRDefault="007C278C"/>
        </w:tc>
      </w:tr>
      <w:tr w:rsidR="007C278C" w:rsidTr="00177C9F">
        <w:tc>
          <w:tcPr>
            <w:tcW w:w="662" w:type="dxa"/>
          </w:tcPr>
          <w:p w:rsidR="007C278C" w:rsidRDefault="007C278C"/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 stabilnost referentne frekvencije ( u odnosu na temperaturu) : +/-0.5ppm ili bolje</w:t>
            </w:r>
          </w:p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7C278C" w:rsidRDefault="007C278C"/>
        </w:tc>
        <w:tc>
          <w:tcPr>
            <w:tcW w:w="2832" w:type="dxa"/>
          </w:tcPr>
          <w:p w:rsidR="007C278C" w:rsidRDefault="007C278C"/>
        </w:tc>
        <w:tc>
          <w:tcPr>
            <w:tcW w:w="2406" w:type="dxa"/>
            <w:shd w:val="clear" w:color="auto" w:fill="C6D9F1" w:themeFill="text2" w:themeFillTint="33"/>
          </w:tcPr>
          <w:p w:rsidR="007C278C" w:rsidRDefault="007C278C"/>
        </w:tc>
      </w:tr>
      <w:tr w:rsidR="00990B53" w:rsidTr="00177C9F">
        <w:tc>
          <w:tcPr>
            <w:tcW w:w="662" w:type="dxa"/>
            <w:shd w:val="clear" w:color="auto" w:fill="C6D9F1" w:themeFill="text2" w:themeFillTint="33"/>
          </w:tcPr>
          <w:p w:rsidR="0012420D" w:rsidRPr="008931D7" w:rsidRDefault="00990B53">
            <w:pPr>
              <w:rPr>
                <w:sz w:val="20"/>
                <w:szCs w:val="20"/>
              </w:rPr>
            </w:pPr>
            <w:r w:rsidRPr="008931D7">
              <w:rPr>
                <w:sz w:val="20"/>
                <w:szCs w:val="20"/>
              </w:rPr>
              <w:t>2.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  <w:t>Mogućnosti analogne modulacije:</w:t>
            </w:r>
          </w:p>
          <w:p w:rsidR="0012420D" w:rsidRPr="008931D7" w:rsidRDefault="0012420D"/>
        </w:tc>
        <w:tc>
          <w:tcPr>
            <w:tcW w:w="4526" w:type="dxa"/>
            <w:shd w:val="clear" w:color="auto" w:fill="C6D9F1" w:themeFill="text2" w:themeFillTint="33"/>
          </w:tcPr>
          <w:p w:rsidR="0012420D" w:rsidRDefault="0012420D"/>
        </w:tc>
        <w:tc>
          <w:tcPr>
            <w:tcW w:w="2832" w:type="dxa"/>
            <w:shd w:val="clear" w:color="auto" w:fill="C6D9F1" w:themeFill="text2" w:themeFillTint="33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8931D7" w:rsidTr="002C65C1">
        <w:tc>
          <w:tcPr>
            <w:tcW w:w="662" w:type="dxa"/>
          </w:tcPr>
          <w:p w:rsidR="0012420D" w:rsidRPr="008931D7" w:rsidRDefault="008931D7">
            <w:pPr>
              <w:rPr>
                <w:sz w:val="20"/>
                <w:szCs w:val="20"/>
              </w:rPr>
            </w:pPr>
            <w:r w:rsidRPr="008931D7">
              <w:rPr>
                <w:sz w:val="20"/>
                <w:szCs w:val="20"/>
              </w:rPr>
              <w:t>2.1.</w:t>
            </w:r>
          </w:p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 frekvencijska (FM), amplitudna (AM), fazna (ФM) modulacija ili više</w:t>
            </w:r>
          </w:p>
          <w:p w:rsidR="0012420D" w:rsidRPr="008931D7" w:rsidRDefault="0012420D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</w:tcPr>
          <w:p w:rsidR="0012420D" w:rsidRDefault="0012420D"/>
          <w:p w:rsidR="00CB38DB" w:rsidRDefault="00CB38DB"/>
          <w:p w:rsidR="00CB38DB" w:rsidRDefault="00CB38DB"/>
          <w:p w:rsidR="00CB38DB" w:rsidRDefault="00CB38DB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8931D7" w:rsidTr="004B7633">
        <w:tc>
          <w:tcPr>
            <w:tcW w:w="662" w:type="dxa"/>
          </w:tcPr>
          <w:p w:rsidR="008931D7" w:rsidRDefault="002C65C1" w:rsidP="002C65C1">
            <w:r>
              <w:t>2.2.</w:t>
            </w:r>
          </w:p>
        </w:tc>
        <w:tc>
          <w:tcPr>
            <w:tcW w:w="3857" w:type="dxa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 frekvencijska (FM), amplitudna (AM), fazna (ФM) modulacija ili više</w:t>
            </w:r>
          </w:p>
          <w:p w:rsidR="008931D7" w:rsidRPr="002C65C1" w:rsidRDefault="008931D7" w:rsidP="002D607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</w:p>
        </w:tc>
        <w:tc>
          <w:tcPr>
            <w:tcW w:w="4526" w:type="dxa"/>
          </w:tcPr>
          <w:p w:rsidR="008931D7" w:rsidRDefault="008931D7"/>
        </w:tc>
        <w:tc>
          <w:tcPr>
            <w:tcW w:w="2832" w:type="dxa"/>
          </w:tcPr>
          <w:p w:rsidR="008931D7" w:rsidRDefault="008931D7"/>
        </w:tc>
        <w:tc>
          <w:tcPr>
            <w:tcW w:w="2406" w:type="dxa"/>
            <w:shd w:val="clear" w:color="auto" w:fill="C6D9F1" w:themeFill="text2" w:themeFillTint="33"/>
          </w:tcPr>
          <w:p w:rsidR="008931D7" w:rsidRDefault="008931D7"/>
        </w:tc>
      </w:tr>
      <w:tr w:rsidR="00EF509D" w:rsidTr="00F66CB5">
        <w:tc>
          <w:tcPr>
            <w:tcW w:w="662" w:type="dxa"/>
            <w:shd w:val="clear" w:color="auto" w:fill="C6D9F1" w:themeFill="text2" w:themeFillTint="33"/>
          </w:tcPr>
          <w:p w:rsidR="00EF509D" w:rsidRDefault="002C65C1">
            <w:r>
              <w:t>3</w:t>
            </w:r>
            <w:r w:rsidR="00F923AC">
              <w:t>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7C278C" w:rsidRPr="007C278C" w:rsidRDefault="007C278C" w:rsidP="007C278C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</w:pPr>
            <w:r w:rsidRPr="007C278C"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  <w:t>Mogućosti digitalne  modulacije:</w:t>
            </w:r>
          </w:p>
          <w:p w:rsidR="00EF509D" w:rsidRPr="00531BA1" w:rsidRDefault="00EF509D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EF509D" w:rsidRDefault="00EF509D"/>
        </w:tc>
        <w:tc>
          <w:tcPr>
            <w:tcW w:w="2832" w:type="dxa"/>
            <w:shd w:val="clear" w:color="auto" w:fill="C6D9F1" w:themeFill="text2" w:themeFillTint="33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EF509D" w:rsidTr="004B7633">
        <w:tc>
          <w:tcPr>
            <w:tcW w:w="662" w:type="dxa"/>
          </w:tcPr>
          <w:p w:rsidR="00EF509D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31BA1" w:rsidRPr="00531BA1">
              <w:rPr>
                <w:sz w:val="20"/>
                <w:szCs w:val="20"/>
              </w:rPr>
              <w:t>.1.</w:t>
            </w:r>
          </w:p>
        </w:tc>
        <w:tc>
          <w:tcPr>
            <w:tcW w:w="3857" w:type="dxa"/>
          </w:tcPr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-pulsna (PM) modulacija </w:t>
            </w: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-linearno frekvencijska modulacija (LFM)</w:t>
            </w: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-širina impulsa (PM)u rasponu: 100ns – </w:t>
            </w:r>
          </w:p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85s ili bolje</w:t>
            </w: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-trajanje impulsa(PM)u rasponu: 200ns-160s ili bolje</w:t>
            </w:r>
          </w:p>
          <w:p w:rsidR="00EF509D" w:rsidRPr="00531BA1" w:rsidRDefault="00EF509D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EF509D" w:rsidRDefault="00EF509D"/>
        </w:tc>
        <w:tc>
          <w:tcPr>
            <w:tcW w:w="2832" w:type="dxa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531BA1" w:rsidTr="00F66CB5">
        <w:tc>
          <w:tcPr>
            <w:tcW w:w="662" w:type="dxa"/>
            <w:shd w:val="clear" w:color="auto" w:fill="C6D9F1" w:themeFill="text2" w:themeFillTint="33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531BA1" w:rsidRPr="00531BA1" w:rsidRDefault="00177C9F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bidi="hr-HR"/>
              </w:rPr>
              <w:t>Dodatne modulacije</w:t>
            </w:r>
            <w:r w:rsidRPr="00022CFD">
              <w:rPr>
                <w:rFonts w:ascii="Cambria" w:hAnsi="Cambria"/>
                <w:b/>
                <w:bCs/>
                <w:sz w:val="20"/>
                <w:szCs w:val="20"/>
                <w:lang w:bidi="hr-HR"/>
              </w:rPr>
              <w:t xml:space="preserve"> :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832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531BA1" w:rsidTr="004B7633">
        <w:tc>
          <w:tcPr>
            <w:tcW w:w="662" w:type="dxa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66CB5">
              <w:rPr>
                <w:sz w:val="20"/>
                <w:szCs w:val="20"/>
              </w:rPr>
              <w:t>.1.</w:t>
            </w:r>
          </w:p>
        </w:tc>
        <w:tc>
          <w:tcPr>
            <w:tcW w:w="3857" w:type="dxa"/>
          </w:tcPr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-4PSK/4FSK/ASK </w:t>
            </w: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-SSB(Single sideband ) modulacija</w:t>
            </w: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-DSB(Double sideband ) modulacija</w:t>
            </w: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-mogucnost prihvata vanjske analogne modulacije</w:t>
            </w:r>
          </w:p>
          <w:p w:rsidR="00531BA1" w:rsidRPr="00531BA1" w:rsidRDefault="00531BA1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531BA1" w:rsidRDefault="00531BA1"/>
        </w:tc>
        <w:tc>
          <w:tcPr>
            <w:tcW w:w="2832" w:type="dxa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531BA1" w:rsidTr="00CB38DB">
        <w:tc>
          <w:tcPr>
            <w:tcW w:w="662" w:type="dxa"/>
            <w:shd w:val="clear" w:color="auto" w:fill="C6D9F1" w:themeFill="text2" w:themeFillTint="33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F66CB5">
              <w:rPr>
                <w:sz w:val="20"/>
                <w:szCs w:val="20"/>
              </w:rPr>
              <w:t>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  <w:t>Dodatne mogućnosti :</w:t>
            </w:r>
          </w:p>
          <w:p w:rsidR="00531BA1" w:rsidRPr="00531BA1" w:rsidRDefault="00531BA1" w:rsidP="00F66CB5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832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857" w:type="dxa"/>
          </w:tcPr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 xml:space="preserve">- visoka stabilnost u odnosu na vrijeme </w:t>
            </w: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CB38DB" w:rsidRPr="0046191C" w:rsidRDefault="00CB38DB" w:rsidP="00F66CB5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hAnsi="Cambria" w:cs="Google Sans"/>
                <w:b/>
                <w:bCs/>
                <w:color w:val="202124"/>
                <w:u w:val="single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CB38DB">
        <w:tc>
          <w:tcPr>
            <w:tcW w:w="662" w:type="dxa"/>
            <w:shd w:val="clear" w:color="auto" w:fill="C6D9F1" w:themeFill="text2" w:themeFillTint="33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CB38DB" w:rsidRDefault="00177C9F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 w:rsidRPr="00DE5136">
              <w:rPr>
                <w:rFonts w:ascii="Cambria" w:hAnsi="Cambria"/>
                <w:b/>
                <w:bCs/>
                <w:lang w:bidi="hr-HR"/>
              </w:rPr>
              <w:t xml:space="preserve">Mogućnosti povezivanja (minimalno): 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832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3857" w:type="dxa"/>
          </w:tcPr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</w:t>
            </w: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1xUSB priklj</w:t>
            </w:r>
            <w:r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učak</w:t>
            </w:r>
          </w:p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</w:t>
            </w: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1xETHERNET priključak</w:t>
            </w:r>
          </w:p>
          <w:p w:rsid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  <w:p w:rsidR="00177C9F" w:rsidRPr="00177C9F" w:rsidRDefault="00177C9F" w:rsidP="00177C9F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</w:pPr>
            <w:r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-</w:t>
            </w:r>
            <w:r w:rsidRPr="00177C9F">
              <w:rPr>
                <w:rFonts w:ascii="Cambria" w:eastAsia="SimSun" w:hAnsi="Cambria" w:cs="Mangal"/>
                <w:bCs/>
                <w:color w:val="000000"/>
                <w:sz w:val="20"/>
                <w:szCs w:val="20"/>
                <w:lang w:eastAsia="zh-CN" w:bidi="hr-HR"/>
              </w:rPr>
              <w:t>1x Type N/ 50 ohm/ženski priključak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u w:val="single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</w:tbl>
    <w:p w:rsidR="0012420D" w:rsidRDefault="0012420D" w:rsidP="008931D7">
      <w:bookmarkStart w:id="0" w:name="_GoBack"/>
      <w:bookmarkEnd w:id="0"/>
    </w:p>
    <w:p w:rsidR="002E6D5E" w:rsidRDefault="002E6D5E" w:rsidP="008931D7"/>
    <w:p w:rsidR="002E6D5E" w:rsidRDefault="002E6D5E" w:rsidP="008931D7">
      <w:r>
        <w:t>Napomena: ponuditelj ispunjava samo one redove i kolone koje su označene bijelom bojom.</w:t>
      </w:r>
    </w:p>
    <w:sectPr w:rsidR="002E6D5E" w:rsidSect="001242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oogle Sans">
    <w:altName w:val="Arial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0D"/>
    <w:rsid w:val="00084858"/>
    <w:rsid w:val="000B52EF"/>
    <w:rsid w:val="0012420D"/>
    <w:rsid w:val="00177C9F"/>
    <w:rsid w:val="002719E4"/>
    <w:rsid w:val="002C65C1"/>
    <w:rsid w:val="002D6071"/>
    <w:rsid w:val="002E6D5E"/>
    <w:rsid w:val="00311590"/>
    <w:rsid w:val="00393690"/>
    <w:rsid w:val="003C235B"/>
    <w:rsid w:val="004508FB"/>
    <w:rsid w:val="004B7633"/>
    <w:rsid w:val="00531BA1"/>
    <w:rsid w:val="0053470A"/>
    <w:rsid w:val="005646EE"/>
    <w:rsid w:val="0066266B"/>
    <w:rsid w:val="007C278C"/>
    <w:rsid w:val="0084586E"/>
    <w:rsid w:val="00851438"/>
    <w:rsid w:val="008931D7"/>
    <w:rsid w:val="008D17F6"/>
    <w:rsid w:val="00990B53"/>
    <w:rsid w:val="00B604A1"/>
    <w:rsid w:val="00BD1CEA"/>
    <w:rsid w:val="00CB38DB"/>
    <w:rsid w:val="00CF77C5"/>
    <w:rsid w:val="00EF509D"/>
    <w:rsid w:val="00F571C8"/>
    <w:rsid w:val="00F66CB5"/>
    <w:rsid w:val="00F9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66266B"/>
  </w:style>
  <w:style w:type="paragraph" w:customStyle="1" w:styleId="PreformattedText">
    <w:name w:val="Preformatted Text"/>
    <w:basedOn w:val="Normal"/>
    <w:rsid w:val="002C65C1"/>
    <w:pPr>
      <w:widowControl w:val="0"/>
      <w:suppressAutoHyphens/>
      <w:overflowPunct w:val="0"/>
      <w:spacing w:after="0" w:line="240" w:lineRule="auto"/>
    </w:pPr>
    <w:rPr>
      <w:rFonts w:ascii="Courier New" w:eastAsia="NSimSun" w:hAnsi="Courier New" w:cs="Courier New"/>
      <w:color w:val="000000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66266B"/>
  </w:style>
  <w:style w:type="paragraph" w:customStyle="1" w:styleId="PreformattedText">
    <w:name w:val="Preformatted Text"/>
    <w:basedOn w:val="Normal"/>
    <w:rsid w:val="002C65C1"/>
    <w:pPr>
      <w:widowControl w:val="0"/>
      <w:suppressAutoHyphens/>
      <w:overflowPunct w:val="0"/>
      <w:spacing w:after="0" w:line="240" w:lineRule="auto"/>
    </w:pPr>
    <w:rPr>
      <w:rFonts w:ascii="Courier New" w:eastAsia="NSimSun" w:hAnsi="Courier New" w:cs="Courier New"/>
      <w:color w:val="000000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2021-01-29T11:00:00Z</cp:lastPrinted>
  <dcterms:created xsi:type="dcterms:W3CDTF">2021-05-19T08:13:00Z</dcterms:created>
  <dcterms:modified xsi:type="dcterms:W3CDTF">2021-05-19T09:33:00Z</dcterms:modified>
</cp:coreProperties>
</file>