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95A16" w14:textId="77777777" w:rsidR="0077031F" w:rsidRPr="008F0295" w:rsidRDefault="0077031F" w:rsidP="00552480">
      <w:pPr>
        <w:spacing w:line="276" w:lineRule="auto"/>
        <w:ind w:left="100"/>
        <w:rPr>
          <w:rFonts w:ascii="Arial" w:hAnsi="Arial" w:cs="Arial"/>
          <w:b/>
          <w:bCs/>
          <w:sz w:val="20"/>
          <w:szCs w:val="20"/>
        </w:rPr>
      </w:pPr>
    </w:p>
    <w:p w14:paraId="481E8852" w14:textId="411640C7" w:rsidR="00C96AE7" w:rsidRPr="008F0295" w:rsidRDefault="003D4387" w:rsidP="008F029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F0295">
        <w:rPr>
          <w:rFonts w:ascii="Arial" w:hAnsi="Arial" w:cs="Arial"/>
          <w:b/>
          <w:bCs/>
          <w:sz w:val="20"/>
          <w:szCs w:val="20"/>
        </w:rPr>
        <w:t xml:space="preserve">Prilog 2. </w:t>
      </w:r>
      <w:r w:rsidR="00704D5D" w:rsidRPr="008F0295">
        <w:rPr>
          <w:rFonts w:ascii="Arial" w:hAnsi="Arial" w:cs="Arial"/>
          <w:b/>
          <w:bCs/>
          <w:sz w:val="20"/>
          <w:szCs w:val="20"/>
        </w:rPr>
        <w:t>Opis poslova</w:t>
      </w:r>
    </w:p>
    <w:p w14:paraId="20B29E96" w14:textId="61085EBA" w:rsidR="003D4387" w:rsidRPr="008F0295" w:rsidRDefault="003D4387" w:rsidP="00552480">
      <w:pPr>
        <w:spacing w:line="276" w:lineRule="auto"/>
        <w:ind w:left="100"/>
        <w:rPr>
          <w:rFonts w:ascii="Arial" w:hAnsi="Arial" w:cs="Arial"/>
          <w:sz w:val="20"/>
          <w:szCs w:val="20"/>
        </w:rPr>
      </w:pPr>
    </w:p>
    <w:p w14:paraId="1926EDA6" w14:textId="77777777" w:rsidR="00711DD1" w:rsidRPr="008F0295" w:rsidRDefault="00711DD1" w:rsidP="00552480">
      <w:pPr>
        <w:spacing w:line="276" w:lineRule="auto"/>
        <w:ind w:left="100"/>
        <w:rPr>
          <w:rFonts w:ascii="Arial" w:hAnsi="Arial" w:cs="Arial"/>
          <w:sz w:val="20"/>
          <w:szCs w:val="20"/>
        </w:rPr>
      </w:pPr>
    </w:p>
    <w:p w14:paraId="78B767E9" w14:textId="77777777" w:rsidR="00441832" w:rsidRPr="008F0295" w:rsidRDefault="00441832" w:rsidP="00552480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</w:p>
    <w:p w14:paraId="6101083F" w14:textId="4B19A712" w:rsidR="0077031F" w:rsidRPr="008F0295" w:rsidRDefault="00704D5D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Opis poslova</w:t>
      </w:r>
      <w:r w:rsidR="009E25D6" w:rsidRPr="008F0295">
        <w:rPr>
          <w:rFonts w:ascii="Arial" w:hAnsi="Arial" w:cs="Arial"/>
          <w:sz w:val="20"/>
          <w:szCs w:val="20"/>
        </w:rPr>
        <w:t xml:space="preserve"> sastoji se od uslug</w:t>
      </w:r>
      <w:r w:rsidR="00916EE3" w:rsidRPr="008F0295">
        <w:rPr>
          <w:rFonts w:ascii="Arial" w:hAnsi="Arial" w:cs="Arial"/>
          <w:sz w:val="20"/>
          <w:szCs w:val="20"/>
        </w:rPr>
        <w:t>e</w:t>
      </w:r>
      <w:r w:rsidR="009E25D6" w:rsidRPr="008F0295">
        <w:rPr>
          <w:rFonts w:ascii="Arial" w:hAnsi="Arial" w:cs="Arial"/>
          <w:sz w:val="20"/>
          <w:szCs w:val="20"/>
        </w:rPr>
        <w:t xml:space="preserve"> izrade </w:t>
      </w:r>
      <w:r w:rsidR="0077031F" w:rsidRPr="008F0295">
        <w:rPr>
          <w:rFonts w:ascii="Arial" w:hAnsi="Arial" w:cs="Arial"/>
          <w:sz w:val="20"/>
          <w:szCs w:val="20"/>
        </w:rPr>
        <w:t xml:space="preserve">projektno tehničke dokumentacije </w:t>
      </w:r>
      <w:r w:rsidR="00916EE3" w:rsidRPr="008F0295">
        <w:rPr>
          <w:rFonts w:ascii="Arial" w:hAnsi="Arial" w:cs="Arial"/>
          <w:sz w:val="20"/>
          <w:szCs w:val="20"/>
        </w:rPr>
        <w:t>za obnovu</w:t>
      </w:r>
      <w:r w:rsidR="00BF4D10" w:rsidRPr="008F0295">
        <w:rPr>
          <w:rFonts w:ascii="Arial" w:hAnsi="Arial" w:cs="Arial"/>
          <w:sz w:val="20"/>
          <w:szCs w:val="20"/>
        </w:rPr>
        <w:t xml:space="preserve"> i rekonstrukciju</w:t>
      </w:r>
      <w:r w:rsidR="00916EE3" w:rsidRPr="008F0295">
        <w:rPr>
          <w:rFonts w:ascii="Arial" w:hAnsi="Arial" w:cs="Arial"/>
          <w:sz w:val="20"/>
          <w:szCs w:val="20"/>
        </w:rPr>
        <w:t xml:space="preserve"> </w:t>
      </w:r>
      <w:r w:rsidR="009F2C64" w:rsidRPr="008F0295">
        <w:rPr>
          <w:rFonts w:ascii="Arial" w:hAnsi="Arial" w:cs="Arial"/>
          <w:sz w:val="20"/>
          <w:szCs w:val="20"/>
        </w:rPr>
        <w:t>građevine javne i društvene namjene</w:t>
      </w:r>
      <w:r w:rsidR="009F2C64" w:rsidRPr="008F0295">
        <w:rPr>
          <w:rFonts w:ascii="Arial" w:hAnsi="Arial" w:cs="Arial"/>
          <w:sz w:val="20"/>
          <w:szCs w:val="20"/>
        </w:rPr>
        <w:footnoteReference w:id="1"/>
      </w:r>
      <w:r w:rsidR="009F2C64" w:rsidRPr="008F0295">
        <w:rPr>
          <w:rFonts w:ascii="Arial" w:hAnsi="Arial" w:cs="Arial"/>
          <w:sz w:val="20"/>
          <w:szCs w:val="20"/>
        </w:rPr>
        <w:t xml:space="preserve"> - zgrada </w:t>
      </w:r>
      <w:r w:rsidR="00916EE3" w:rsidRPr="008F0295">
        <w:rPr>
          <w:rFonts w:ascii="Arial" w:hAnsi="Arial" w:cs="Arial"/>
          <w:sz w:val="20"/>
          <w:szCs w:val="20"/>
        </w:rPr>
        <w:t>Hrvatskog glazbenog zavoda</w:t>
      </w:r>
      <w:r w:rsidR="009F2C64" w:rsidRPr="008F0295">
        <w:rPr>
          <w:rFonts w:ascii="Arial" w:hAnsi="Arial" w:cs="Arial"/>
          <w:sz w:val="20"/>
          <w:szCs w:val="20"/>
        </w:rPr>
        <w:t>, a</w:t>
      </w:r>
      <w:r w:rsidR="00916EE3" w:rsidRPr="008F0295">
        <w:rPr>
          <w:rFonts w:ascii="Arial" w:hAnsi="Arial" w:cs="Arial"/>
          <w:sz w:val="20"/>
          <w:szCs w:val="20"/>
        </w:rPr>
        <w:t xml:space="preserve"> </w:t>
      </w:r>
      <w:r w:rsidR="0077031F" w:rsidRPr="008F0295">
        <w:rPr>
          <w:rFonts w:ascii="Arial" w:hAnsi="Arial" w:cs="Arial"/>
          <w:sz w:val="20"/>
          <w:szCs w:val="20"/>
        </w:rPr>
        <w:t>sukladno prijavi na poziv za dodjelu bespovratnih financijskih sredstava „Provedba mjera zaštite kulturne baštine oštećene u potresu 22. Ožujka 2020. godine na području grada Zagreba, Krapinsko-zagorske i Zagrebačke županije (klasa: 612-05/21-01/0147)“.</w:t>
      </w:r>
    </w:p>
    <w:p w14:paraId="53770CDD" w14:textId="19355D31" w:rsidR="0077031F" w:rsidRPr="008F0295" w:rsidRDefault="0077031F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</w:p>
    <w:p w14:paraId="11E13663" w14:textId="322B36DB" w:rsidR="00916EE3" w:rsidRPr="008F0295" w:rsidRDefault="0077031F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Projektno tehnička dokumentacija se izrađuje sukladno Zakonu o obnovi zgrada oštećenih potresom na području Grada Zagreba, Krapinsko-zagorske županije i Zagrebačke županije (NN 102/2020)</w:t>
      </w:r>
      <w:r w:rsidR="00916EE3" w:rsidRPr="008F0295">
        <w:rPr>
          <w:rFonts w:ascii="Arial" w:hAnsi="Arial" w:cs="Arial"/>
          <w:sz w:val="20"/>
          <w:szCs w:val="20"/>
        </w:rPr>
        <w:t xml:space="preserve">, </w:t>
      </w:r>
      <w:r w:rsidRPr="008F0295">
        <w:rPr>
          <w:rFonts w:ascii="Arial" w:hAnsi="Arial" w:cs="Arial"/>
          <w:sz w:val="20"/>
          <w:szCs w:val="20"/>
        </w:rPr>
        <w:t xml:space="preserve"> Pravilni</w:t>
      </w:r>
      <w:r w:rsidR="00916EE3" w:rsidRPr="008F0295">
        <w:rPr>
          <w:rFonts w:ascii="Arial" w:hAnsi="Arial" w:cs="Arial"/>
          <w:sz w:val="20"/>
          <w:szCs w:val="20"/>
        </w:rPr>
        <w:t>ku</w:t>
      </w:r>
      <w:r w:rsidRPr="008F0295">
        <w:rPr>
          <w:rFonts w:ascii="Arial" w:hAnsi="Arial" w:cs="Arial"/>
          <w:sz w:val="20"/>
          <w:szCs w:val="20"/>
        </w:rPr>
        <w:t xml:space="preserve"> o sadržaju i tehničkim elementima projektne dokumentacije obnove, projekta za uklanjanje zgrade i projekta za građenje zamjenske obiteljske kuće oštećenih potresom na području Grada Zagreba, Krapinsko-zagorske županije i Zagrebačke županije (NN 127/2020)</w:t>
      </w:r>
      <w:r w:rsidR="00BF4D10" w:rsidRPr="008F0295">
        <w:rPr>
          <w:rFonts w:ascii="Arial" w:hAnsi="Arial" w:cs="Arial"/>
          <w:sz w:val="20"/>
          <w:szCs w:val="20"/>
        </w:rPr>
        <w:t>, Zakonom o gradnji NN 153/13, 20/17, 39/19, 125/19), Zakonom o prostornom uređenju (NN 153/13, 65/17, 114/18, 39/19, 98/19)</w:t>
      </w:r>
      <w:r w:rsidR="009F2C64" w:rsidRPr="008F0295">
        <w:rPr>
          <w:rFonts w:ascii="Arial" w:hAnsi="Arial" w:cs="Arial"/>
          <w:sz w:val="20"/>
          <w:szCs w:val="20"/>
        </w:rPr>
        <w:t xml:space="preserve">, Zakonom o očuvanju i zaštititi kulturnih dobara (NN 69/99, 151/03, 157/03, 100/04,  87/09, 88/10, 61/11, 25/12, 136/12, 157/13, 152/14 , 98/15, 44/17, 90/18, 32/20, 62/20) </w:t>
      </w:r>
      <w:r w:rsidR="00916EE3" w:rsidRPr="008F0295">
        <w:rPr>
          <w:rFonts w:ascii="Arial" w:hAnsi="Arial" w:cs="Arial"/>
          <w:sz w:val="20"/>
          <w:szCs w:val="20"/>
        </w:rPr>
        <w:t>i ostalim pozitivnim propisima koji uređuju i propisuju djelatnosti obuhvaćene ovim postupkom nabave te koji reguliraju predmet projektiranja, kao i priznatim pravilima struke.</w:t>
      </w:r>
    </w:p>
    <w:p w14:paraId="752C727C" w14:textId="49DBAF79" w:rsidR="00AA21F5" w:rsidRPr="008F0295" w:rsidRDefault="00AA21F5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06929E" w14:textId="1515A635" w:rsidR="009F2C64" w:rsidRPr="008F0295" w:rsidRDefault="009F2C64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Zgrada Hrvatskog glazbenog zavoda je građevina javne i društvene namjene u kojoj osnovnu djelatnost organizacije izvedbe glazbenih umjetnosti provodi udruga građana osnovana 1827. godine.  </w:t>
      </w:r>
    </w:p>
    <w:p w14:paraId="0BE790D3" w14:textId="50831698" w:rsidR="00AA21F5" w:rsidRPr="008F0295" w:rsidRDefault="00AA21F5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Zgrada Hrvatskog glazbenog zavoda, na k.č.br. 2119 i 2120, k.o. Centar u Zagrebu, Gundulićeva 6 i 6a, za koju je rješenjem Ministarstva kulture, Klasa: UP/I-612-08/02-01/540, Ur.broj: 532-10-1/8(JB)-02-2, od 21.11.2002. utvrđeno svojstvo kulturnog dobra, upisana je u Registar kulturnih dobara Republike Hrvatske – Listu zaštićenih kulturnih dobara, pod brojem Registra: Z-0332  te se ista nalazi unutar prostornih međa kulturnog dobra Povijesna urbana cjelina Grad Zagreb, pod brojem Registra: Z-1525.</w:t>
      </w:r>
    </w:p>
    <w:p w14:paraId="34E6E488" w14:textId="77777777" w:rsidR="00AA21F5" w:rsidRPr="008F0295" w:rsidRDefault="00AA21F5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4709D5" w14:textId="156FAAF3" w:rsidR="00552480" w:rsidRPr="008F0295" w:rsidRDefault="00AA21F5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Sukladno pregledu i ocjenu uporabljivosti građevine oštećene u potresu zgrada Hrvatskog glazbenog zavoda kategorizirana je kao : PN2 – Privremeno neuporabljivo – potrebne mjere hitne intervencije.  (Zgrada ima umjerena oštećenja bez opasnosti od urušavanja, ali ne može se upotrebljavati zbog potencijalne opasnosti urušavanja pojedinih elemenata sa same zgrade.).</w:t>
      </w:r>
      <w:r w:rsidR="00916EE3" w:rsidRPr="008F0295">
        <w:rPr>
          <w:rFonts w:ascii="Arial" w:hAnsi="Arial" w:cs="Arial"/>
          <w:sz w:val="20"/>
          <w:szCs w:val="20"/>
        </w:rPr>
        <w:t xml:space="preserve"> </w:t>
      </w:r>
    </w:p>
    <w:p w14:paraId="3DD0EF87" w14:textId="1381F0BA" w:rsidR="0077031F" w:rsidRPr="008F0295" w:rsidRDefault="0077031F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528EAD" w14:textId="63244DC6" w:rsidR="0077031F" w:rsidRPr="008F0295" w:rsidRDefault="00AA21F5" w:rsidP="00711DD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S obzirom na </w:t>
      </w:r>
      <w:r w:rsidR="009F2C64" w:rsidRPr="008F0295">
        <w:rPr>
          <w:rFonts w:ascii="Arial" w:hAnsi="Arial" w:cs="Arial"/>
          <w:sz w:val="20"/>
          <w:szCs w:val="20"/>
        </w:rPr>
        <w:t xml:space="preserve">javnu i društvenu </w:t>
      </w:r>
      <w:r w:rsidRPr="008F0295">
        <w:rPr>
          <w:rFonts w:ascii="Arial" w:hAnsi="Arial" w:cs="Arial"/>
          <w:sz w:val="20"/>
          <w:szCs w:val="20"/>
        </w:rPr>
        <w:t>namjenu građevine, stupanj oštećenja i kategoriju zaštite potrebno je izraditi sljedeć</w:t>
      </w:r>
      <w:r w:rsidR="004B47E4" w:rsidRPr="008F0295">
        <w:rPr>
          <w:rFonts w:ascii="Arial" w:hAnsi="Arial" w:cs="Arial"/>
          <w:sz w:val="20"/>
          <w:szCs w:val="20"/>
        </w:rPr>
        <w:t xml:space="preserve">e elaborate i </w:t>
      </w:r>
      <w:r w:rsidRPr="008F0295">
        <w:rPr>
          <w:rFonts w:ascii="Arial" w:hAnsi="Arial" w:cs="Arial"/>
          <w:sz w:val="20"/>
          <w:szCs w:val="20"/>
        </w:rPr>
        <w:t xml:space="preserve"> p</w:t>
      </w:r>
      <w:r w:rsidR="0077031F" w:rsidRPr="008F0295">
        <w:rPr>
          <w:rFonts w:ascii="Arial" w:hAnsi="Arial" w:cs="Arial"/>
          <w:sz w:val="20"/>
          <w:szCs w:val="20"/>
        </w:rPr>
        <w:t>rojektno tehničk</w:t>
      </w:r>
      <w:r w:rsidRPr="008F0295">
        <w:rPr>
          <w:rFonts w:ascii="Arial" w:hAnsi="Arial" w:cs="Arial"/>
          <w:sz w:val="20"/>
          <w:szCs w:val="20"/>
        </w:rPr>
        <w:t>u</w:t>
      </w:r>
      <w:r w:rsidR="0077031F" w:rsidRPr="008F0295">
        <w:rPr>
          <w:rFonts w:ascii="Arial" w:hAnsi="Arial" w:cs="Arial"/>
          <w:sz w:val="20"/>
          <w:szCs w:val="20"/>
        </w:rPr>
        <w:t xml:space="preserve"> dokumentacij</w:t>
      </w:r>
      <w:r w:rsidR="00916EE3" w:rsidRPr="008F0295">
        <w:rPr>
          <w:rFonts w:ascii="Arial" w:hAnsi="Arial" w:cs="Arial"/>
          <w:sz w:val="20"/>
          <w:szCs w:val="20"/>
        </w:rPr>
        <w:t>u</w:t>
      </w:r>
      <w:r w:rsidR="004B47E4" w:rsidRPr="008F0295">
        <w:rPr>
          <w:rFonts w:ascii="Arial" w:hAnsi="Arial" w:cs="Arial"/>
          <w:sz w:val="20"/>
          <w:szCs w:val="20"/>
        </w:rPr>
        <w:t xml:space="preserve"> </w:t>
      </w:r>
      <w:r w:rsidRPr="008F0295">
        <w:rPr>
          <w:rFonts w:ascii="Arial" w:hAnsi="Arial" w:cs="Arial"/>
          <w:sz w:val="20"/>
          <w:szCs w:val="20"/>
        </w:rPr>
        <w:t xml:space="preserve">a koja </w:t>
      </w:r>
      <w:r w:rsidR="0077031F" w:rsidRPr="008F0295">
        <w:rPr>
          <w:rFonts w:ascii="Arial" w:hAnsi="Arial" w:cs="Arial"/>
          <w:sz w:val="20"/>
          <w:szCs w:val="20"/>
        </w:rPr>
        <w:t>se sastoji od:</w:t>
      </w:r>
    </w:p>
    <w:p w14:paraId="6EC39A6E" w14:textId="77777777" w:rsidR="00711DD1" w:rsidRPr="008F0295" w:rsidRDefault="00711DD1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CC7271" w14:textId="199A430E" w:rsidR="004B47E4" w:rsidRPr="008F0295" w:rsidRDefault="004B47E4" w:rsidP="0014575B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Elaborata nužnih za izradu projektno tehničke dokumentacije</w:t>
      </w:r>
    </w:p>
    <w:p w14:paraId="6B156277" w14:textId="76E952B5" w:rsidR="0077031F" w:rsidRPr="008F0295" w:rsidRDefault="0077031F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Projekta cjelovite obnove konstrukcije  </w:t>
      </w:r>
    </w:p>
    <w:p w14:paraId="3281FE84" w14:textId="7427A245" w:rsidR="004B47E4" w:rsidRPr="008F0295" w:rsidRDefault="0077031F" w:rsidP="0014575B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Projekta cjelovite obnove zgrade</w:t>
      </w:r>
      <w:r w:rsidR="005D4ADB" w:rsidRPr="008F0295">
        <w:rPr>
          <w:rFonts w:ascii="Arial" w:hAnsi="Arial" w:cs="Arial"/>
          <w:sz w:val="20"/>
          <w:szCs w:val="20"/>
        </w:rPr>
        <w:t xml:space="preserve"> </w:t>
      </w:r>
      <w:bookmarkStart w:id="0" w:name="_Hlk66644333"/>
      <w:r w:rsidR="005D4ADB" w:rsidRPr="008F0295">
        <w:rPr>
          <w:rFonts w:ascii="Arial" w:hAnsi="Arial" w:cs="Arial"/>
          <w:sz w:val="20"/>
          <w:szCs w:val="20"/>
        </w:rPr>
        <w:t xml:space="preserve">i </w:t>
      </w:r>
      <w:r w:rsidR="00B230B7" w:rsidRPr="008F0295">
        <w:rPr>
          <w:rFonts w:ascii="Arial" w:hAnsi="Arial" w:cs="Arial"/>
          <w:sz w:val="20"/>
          <w:szCs w:val="20"/>
        </w:rPr>
        <w:t xml:space="preserve">Glavnog projekta za ishođenje Građevinske dozvole za rekonstrukciju (prenamjena tavanskog prostora) </w:t>
      </w:r>
      <w:bookmarkEnd w:id="0"/>
    </w:p>
    <w:p w14:paraId="572E0E08" w14:textId="77777777" w:rsidR="00711DD1" w:rsidRPr="008F0295" w:rsidRDefault="00711DD1" w:rsidP="004B47E4">
      <w:pPr>
        <w:rPr>
          <w:rFonts w:ascii="Arial" w:hAnsi="Arial" w:cs="Arial"/>
          <w:sz w:val="20"/>
          <w:szCs w:val="20"/>
        </w:rPr>
      </w:pPr>
    </w:p>
    <w:p w14:paraId="43FD18B4" w14:textId="2B85E736" w:rsidR="00950719" w:rsidRPr="009A04E8" w:rsidRDefault="00AA21F5" w:rsidP="0014575B">
      <w:pPr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Naveden</w:t>
      </w:r>
      <w:r w:rsidR="00BF4D10" w:rsidRPr="008F0295">
        <w:rPr>
          <w:rFonts w:ascii="Arial" w:hAnsi="Arial" w:cs="Arial"/>
          <w:sz w:val="20"/>
          <w:szCs w:val="20"/>
        </w:rPr>
        <w:t>u</w:t>
      </w:r>
      <w:r w:rsidRPr="008F0295">
        <w:rPr>
          <w:rFonts w:ascii="Arial" w:hAnsi="Arial" w:cs="Arial"/>
          <w:sz w:val="20"/>
          <w:szCs w:val="20"/>
        </w:rPr>
        <w:t xml:space="preserve"> projektno tehničk</w:t>
      </w:r>
      <w:r w:rsidR="00441832" w:rsidRPr="008F0295">
        <w:rPr>
          <w:rFonts w:ascii="Arial" w:hAnsi="Arial" w:cs="Arial"/>
          <w:sz w:val="20"/>
          <w:szCs w:val="20"/>
        </w:rPr>
        <w:t>u</w:t>
      </w:r>
      <w:r w:rsidRPr="008F0295">
        <w:rPr>
          <w:rFonts w:ascii="Arial" w:hAnsi="Arial" w:cs="Arial"/>
          <w:sz w:val="20"/>
          <w:szCs w:val="20"/>
        </w:rPr>
        <w:t xml:space="preserve"> dokumentacij</w:t>
      </w:r>
      <w:r w:rsidR="00BF4D10" w:rsidRPr="008F0295">
        <w:rPr>
          <w:rFonts w:ascii="Arial" w:hAnsi="Arial" w:cs="Arial"/>
          <w:sz w:val="20"/>
          <w:szCs w:val="20"/>
        </w:rPr>
        <w:t>u</w:t>
      </w:r>
      <w:r w:rsidRPr="008F0295">
        <w:rPr>
          <w:rFonts w:ascii="Arial" w:hAnsi="Arial" w:cs="Arial"/>
          <w:sz w:val="20"/>
          <w:szCs w:val="20"/>
        </w:rPr>
        <w:t xml:space="preserve"> </w:t>
      </w:r>
      <w:r w:rsidR="00BF4D10" w:rsidRPr="008F0295">
        <w:rPr>
          <w:rFonts w:ascii="Arial" w:hAnsi="Arial" w:cs="Arial"/>
          <w:sz w:val="20"/>
          <w:szCs w:val="20"/>
        </w:rPr>
        <w:t xml:space="preserve">potrebno je izraditi </w:t>
      </w:r>
      <w:r w:rsidRPr="008F0295">
        <w:rPr>
          <w:rFonts w:ascii="Arial" w:hAnsi="Arial" w:cs="Arial"/>
          <w:sz w:val="20"/>
          <w:szCs w:val="20"/>
        </w:rPr>
        <w:t xml:space="preserve">u skladu s </w:t>
      </w:r>
      <w:r w:rsidR="00BF4D10" w:rsidRPr="008F0295">
        <w:rPr>
          <w:rFonts w:ascii="Arial" w:hAnsi="Arial" w:cs="Arial"/>
          <w:sz w:val="20"/>
          <w:szCs w:val="20"/>
        </w:rPr>
        <w:t>do sad izrađenom dokumentacijom (Elaborat osiguranja dokaza nastale štete uslijed potresa, Konzervatorski elaborat ovjeren od strane nadležnog javno-pravnog tijela i Idejni arhitektonski projekt)</w:t>
      </w:r>
      <w:r w:rsidR="00552480" w:rsidRPr="008F0295">
        <w:rPr>
          <w:rFonts w:ascii="Arial" w:hAnsi="Arial" w:cs="Arial"/>
          <w:sz w:val="20"/>
          <w:szCs w:val="20"/>
        </w:rPr>
        <w:t xml:space="preserve"> </w:t>
      </w:r>
      <w:r w:rsidR="00BF4D10" w:rsidRPr="008F0295">
        <w:rPr>
          <w:rFonts w:ascii="Arial" w:hAnsi="Arial" w:cs="Arial"/>
          <w:sz w:val="20"/>
          <w:szCs w:val="20"/>
        </w:rPr>
        <w:t>koja se</w:t>
      </w:r>
      <w:r w:rsidR="00950719" w:rsidRPr="008F0295">
        <w:rPr>
          <w:rFonts w:ascii="Arial" w:hAnsi="Arial" w:cs="Arial"/>
          <w:sz w:val="20"/>
          <w:szCs w:val="20"/>
        </w:rPr>
        <w:t xml:space="preserve"> </w:t>
      </w:r>
      <w:r w:rsidR="001E683E" w:rsidRPr="008F0295">
        <w:rPr>
          <w:rFonts w:ascii="Arial" w:hAnsi="Arial" w:cs="Arial"/>
          <w:sz w:val="20"/>
          <w:szCs w:val="20"/>
        </w:rPr>
        <w:t xml:space="preserve">nalazi na </w:t>
      </w:r>
      <w:r w:rsidR="001E683E" w:rsidRPr="009A04E8">
        <w:rPr>
          <w:rFonts w:ascii="Arial" w:hAnsi="Arial" w:cs="Arial"/>
          <w:sz w:val="20"/>
          <w:szCs w:val="20"/>
        </w:rPr>
        <w:t>poveznici</w:t>
      </w:r>
      <w:r w:rsidR="009259D2" w:rsidRPr="009A04E8">
        <w:rPr>
          <w:rFonts w:ascii="Arial" w:hAnsi="Arial" w:cs="Arial"/>
          <w:sz w:val="20"/>
          <w:szCs w:val="20"/>
        </w:rPr>
        <w:t xml:space="preserve">  </w:t>
      </w:r>
      <w:hyperlink r:id="rId8" w:history="1">
        <w:r w:rsidR="009259D2" w:rsidRPr="009A04E8">
          <w:rPr>
            <w:rStyle w:val="Hyperlink"/>
            <w:rFonts w:ascii="Arial" w:hAnsi="Arial" w:cs="Arial"/>
            <w:sz w:val="20"/>
            <w:szCs w:val="20"/>
          </w:rPr>
          <w:t>https://www.hgz.hr/hgz-dokumentacija/</w:t>
        </w:r>
      </w:hyperlink>
      <w:r w:rsidR="009259D2" w:rsidRPr="009A04E8">
        <w:rPr>
          <w:rFonts w:ascii="Arial" w:hAnsi="Arial" w:cs="Arial"/>
          <w:sz w:val="20"/>
          <w:szCs w:val="20"/>
        </w:rPr>
        <w:t>.</w:t>
      </w:r>
    </w:p>
    <w:p w14:paraId="2E5C2494" w14:textId="77777777" w:rsidR="00552480" w:rsidRPr="008F0295" w:rsidRDefault="00552480" w:rsidP="0014575B">
      <w:pPr>
        <w:spacing w:line="276" w:lineRule="auto"/>
        <w:ind w:left="100"/>
        <w:rPr>
          <w:rFonts w:ascii="Arial" w:hAnsi="Arial" w:cs="Arial"/>
          <w:sz w:val="20"/>
          <w:szCs w:val="20"/>
        </w:rPr>
      </w:pPr>
    </w:p>
    <w:p w14:paraId="682B844C" w14:textId="537A6BD2" w:rsidR="00BF4D10" w:rsidRPr="008F0295" w:rsidRDefault="00BF4D10" w:rsidP="0014575B">
      <w:pPr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Obaveza je odabranog ponuditelja ishoditi pisanu suglasnost autora idejnog projekta u svim daljnjim fazama izrade projektno tehničke dokumentacije koja je predmet ovog Poziva u pogledu usklađenja iste s nastalim autorskim djelom kroz do sad izrađenu dokumentaciju.</w:t>
      </w:r>
    </w:p>
    <w:p w14:paraId="04B9211D" w14:textId="77777777" w:rsidR="00711DD1" w:rsidRPr="008F0295" w:rsidRDefault="00711DD1" w:rsidP="00711DD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17C6D9" w14:textId="496D72F6" w:rsidR="00711DD1" w:rsidRPr="008F0295" w:rsidRDefault="00711DD1" w:rsidP="00711DD1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F0295">
        <w:rPr>
          <w:rFonts w:ascii="Arial" w:hAnsi="Arial" w:cs="Arial"/>
          <w:sz w:val="20"/>
          <w:szCs w:val="20"/>
          <w:u w:val="single"/>
        </w:rPr>
        <w:t>1. Elaborati nužni za izradu projektno tehničke dokumentacije</w:t>
      </w:r>
    </w:p>
    <w:p w14:paraId="06E01A51" w14:textId="5E5E4BD2" w:rsidR="00711DD1" w:rsidRPr="008F0295" w:rsidRDefault="00711DD1" w:rsidP="00711DD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28FB28B" w14:textId="67D7B06D" w:rsidR="00711DD1" w:rsidRPr="008F0295" w:rsidRDefault="00711DD1" w:rsidP="00711DD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Elaborati nužni za izradu Projekt</w:t>
      </w:r>
      <w:r w:rsidR="0095785A" w:rsidRPr="008F0295">
        <w:rPr>
          <w:rFonts w:ascii="Arial" w:hAnsi="Arial" w:cs="Arial"/>
          <w:sz w:val="20"/>
          <w:szCs w:val="20"/>
        </w:rPr>
        <w:t>a</w:t>
      </w:r>
      <w:r w:rsidRPr="008F0295">
        <w:rPr>
          <w:rFonts w:ascii="Arial" w:hAnsi="Arial" w:cs="Arial"/>
          <w:sz w:val="20"/>
          <w:szCs w:val="20"/>
        </w:rPr>
        <w:t xml:space="preserve"> cjelovite obnove konstrukcije, a koji </w:t>
      </w:r>
      <w:r w:rsidR="0095785A" w:rsidRPr="008F0295">
        <w:rPr>
          <w:rFonts w:ascii="Arial" w:hAnsi="Arial" w:cs="Arial"/>
          <w:sz w:val="20"/>
          <w:szCs w:val="20"/>
        </w:rPr>
        <w:t xml:space="preserve">se koriste kao podloga za </w:t>
      </w:r>
      <w:r w:rsidRPr="008F0295">
        <w:rPr>
          <w:rFonts w:ascii="Arial" w:hAnsi="Arial" w:cs="Arial"/>
          <w:sz w:val="20"/>
          <w:szCs w:val="20"/>
        </w:rPr>
        <w:t>izrad</w:t>
      </w:r>
      <w:r w:rsidR="0095785A" w:rsidRPr="008F0295">
        <w:rPr>
          <w:rFonts w:ascii="Arial" w:hAnsi="Arial" w:cs="Arial"/>
          <w:sz w:val="20"/>
          <w:szCs w:val="20"/>
        </w:rPr>
        <w:t>u</w:t>
      </w:r>
      <w:r w:rsidRPr="008F0295">
        <w:rPr>
          <w:rFonts w:ascii="Arial" w:hAnsi="Arial" w:cs="Arial"/>
          <w:sz w:val="20"/>
          <w:szCs w:val="20"/>
        </w:rPr>
        <w:t xml:space="preserve"> </w:t>
      </w:r>
      <w:r w:rsidR="0095785A" w:rsidRPr="008F0295">
        <w:rPr>
          <w:rFonts w:ascii="Arial" w:hAnsi="Arial" w:cs="Arial"/>
          <w:sz w:val="20"/>
          <w:szCs w:val="20"/>
        </w:rPr>
        <w:t>projektno tehničke dokumentacije</w:t>
      </w:r>
      <w:r w:rsidRPr="008F0295">
        <w:rPr>
          <w:rFonts w:ascii="Arial" w:hAnsi="Arial" w:cs="Arial"/>
          <w:sz w:val="20"/>
          <w:szCs w:val="20"/>
        </w:rPr>
        <w:t xml:space="preserve"> </w:t>
      </w:r>
      <w:r w:rsidR="0095785A" w:rsidRPr="008F0295">
        <w:rPr>
          <w:rFonts w:ascii="Arial" w:hAnsi="Arial" w:cs="Arial"/>
          <w:sz w:val="20"/>
          <w:szCs w:val="20"/>
        </w:rPr>
        <w:t>su</w:t>
      </w:r>
      <w:r w:rsidRPr="008F0295">
        <w:rPr>
          <w:rFonts w:ascii="Arial" w:hAnsi="Arial" w:cs="Arial"/>
          <w:sz w:val="20"/>
          <w:szCs w:val="20"/>
        </w:rPr>
        <w:t>:</w:t>
      </w:r>
    </w:p>
    <w:p w14:paraId="4B98C2E7" w14:textId="77777777" w:rsidR="00711DD1" w:rsidRPr="008F0295" w:rsidRDefault="00711DD1" w:rsidP="001457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8C7BDC" w14:textId="06681B3C" w:rsidR="00711DD1" w:rsidRPr="008F0295" w:rsidRDefault="0095785A" w:rsidP="00711DD1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E</w:t>
      </w:r>
      <w:r w:rsidR="00711DD1" w:rsidRPr="008F0295">
        <w:rPr>
          <w:rFonts w:ascii="Arial" w:hAnsi="Arial" w:cs="Arial"/>
          <w:sz w:val="20"/>
          <w:szCs w:val="20"/>
        </w:rPr>
        <w:t>laborat ocjene postojećeg stanja građevinske konstrukcije</w:t>
      </w:r>
    </w:p>
    <w:p w14:paraId="5B2D9432" w14:textId="2F28E1E2" w:rsidR="00711DD1" w:rsidRPr="008F0295" w:rsidRDefault="0095785A" w:rsidP="00711DD1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T</w:t>
      </w:r>
      <w:r w:rsidR="00711DD1" w:rsidRPr="008F0295">
        <w:rPr>
          <w:rFonts w:ascii="Arial" w:hAnsi="Arial" w:cs="Arial"/>
          <w:sz w:val="20"/>
          <w:szCs w:val="20"/>
        </w:rPr>
        <w:t>ehničko tehnološk</w:t>
      </w:r>
      <w:r w:rsidRPr="008F0295">
        <w:rPr>
          <w:rFonts w:ascii="Arial" w:hAnsi="Arial" w:cs="Arial"/>
          <w:sz w:val="20"/>
          <w:szCs w:val="20"/>
        </w:rPr>
        <w:t>i</w:t>
      </w:r>
      <w:r w:rsidR="00711DD1" w:rsidRPr="008F0295">
        <w:rPr>
          <w:rFonts w:ascii="Arial" w:hAnsi="Arial" w:cs="Arial"/>
          <w:sz w:val="20"/>
          <w:szCs w:val="20"/>
        </w:rPr>
        <w:t xml:space="preserve"> elaborat analize uzroka prisutnosti kapilarne vlage</w:t>
      </w:r>
    </w:p>
    <w:p w14:paraId="7E9B26DD" w14:textId="0A2A553E" w:rsidR="00711DD1" w:rsidRPr="008F0295" w:rsidRDefault="0095785A" w:rsidP="00711DD1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G</w:t>
      </w:r>
      <w:r w:rsidR="00711DD1" w:rsidRPr="008F0295">
        <w:rPr>
          <w:rFonts w:ascii="Arial" w:hAnsi="Arial" w:cs="Arial"/>
          <w:sz w:val="20"/>
          <w:szCs w:val="20"/>
        </w:rPr>
        <w:t>eodetski elaborat</w:t>
      </w:r>
      <w:r w:rsidRPr="008F0295">
        <w:rPr>
          <w:rFonts w:ascii="Arial" w:hAnsi="Arial" w:cs="Arial"/>
          <w:sz w:val="20"/>
          <w:szCs w:val="20"/>
        </w:rPr>
        <w:t xml:space="preserve"> s pripadajućim situacijama</w:t>
      </w:r>
    </w:p>
    <w:p w14:paraId="41B0511F" w14:textId="7C3878E1" w:rsidR="00711DD1" w:rsidRPr="008F0295" w:rsidRDefault="00FE4CFD" w:rsidP="00711DD1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Elaborat</w:t>
      </w:r>
      <w:r w:rsidR="0095785A" w:rsidRPr="008F0295">
        <w:rPr>
          <w:rFonts w:ascii="Arial" w:hAnsi="Arial" w:cs="Arial"/>
          <w:sz w:val="20"/>
          <w:szCs w:val="20"/>
        </w:rPr>
        <w:t xml:space="preserve"> zaštite od buke i elaborat</w:t>
      </w:r>
      <w:r w:rsidRPr="008F0295">
        <w:rPr>
          <w:rFonts w:ascii="Arial" w:hAnsi="Arial" w:cs="Arial"/>
          <w:sz w:val="20"/>
          <w:szCs w:val="20"/>
        </w:rPr>
        <w:t xml:space="preserve"> akustičkih svojstava</w:t>
      </w:r>
    </w:p>
    <w:p w14:paraId="3DA8B812" w14:textId="77777777" w:rsidR="0095785A" w:rsidRPr="008F0295" w:rsidRDefault="0095785A" w:rsidP="0095785A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Elaborat zaštite od požara </w:t>
      </w:r>
    </w:p>
    <w:p w14:paraId="09E23250" w14:textId="3BA17F98" w:rsidR="0095785A" w:rsidRPr="008F0295" w:rsidRDefault="0095785A" w:rsidP="0095785A">
      <w:pPr>
        <w:pStyle w:val="ListParagraph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Elaborat zaštite na radu</w:t>
      </w:r>
    </w:p>
    <w:p w14:paraId="03744AEC" w14:textId="77777777" w:rsidR="00711DD1" w:rsidRPr="008F0295" w:rsidRDefault="00711DD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23FF55" w14:textId="3A2D717F" w:rsidR="0077031F" w:rsidRPr="008F0295" w:rsidRDefault="00FE4CFD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F0295">
        <w:rPr>
          <w:rFonts w:ascii="Arial" w:hAnsi="Arial" w:cs="Arial"/>
          <w:sz w:val="20"/>
          <w:szCs w:val="20"/>
          <w:u w:val="single"/>
        </w:rPr>
        <w:t>2</w:t>
      </w:r>
      <w:r w:rsidR="0077031F" w:rsidRPr="008F0295">
        <w:rPr>
          <w:rFonts w:ascii="Arial" w:hAnsi="Arial" w:cs="Arial"/>
          <w:sz w:val="20"/>
          <w:szCs w:val="20"/>
          <w:u w:val="single"/>
        </w:rPr>
        <w:t xml:space="preserve">. Projekt cjelovite obnove konstrukcije </w:t>
      </w:r>
    </w:p>
    <w:p w14:paraId="21ED1700" w14:textId="77777777" w:rsidR="00AA21F5" w:rsidRPr="008F0295" w:rsidRDefault="00AA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A88471" w14:textId="77777777" w:rsidR="00410634" w:rsidRPr="008F0295" w:rsidRDefault="0077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Projekt sadrži opći i tehnički dio. U tehničkom dijelu definiraju se tekstualni i grafički prilozi projekta s dokazima o ispunjavanju temeljnih i drugih zahtjeva za građevinu u građevinskom projektu. </w:t>
      </w:r>
    </w:p>
    <w:p w14:paraId="020CC5F6" w14:textId="5606F19E" w:rsidR="00475CFD" w:rsidRPr="008F0295" w:rsidRDefault="0077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Projekt se sastoji od Građevinskog projekta konstrukcije i ostalih potrebnih </w:t>
      </w:r>
      <w:r w:rsidR="00475CFD" w:rsidRPr="008F0295">
        <w:rPr>
          <w:rFonts w:ascii="Arial" w:hAnsi="Arial" w:cs="Arial"/>
          <w:sz w:val="20"/>
          <w:szCs w:val="20"/>
        </w:rPr>
        <w:t>mapa pojedinih struka koje su, ovisno o vrsti zgrade, potrebne za davanje cjelovitog i usklađenog tehničkog rješenja obnove konstrukcije zgrade i dokazivanja ispunjavanja mehaničke otpornosti i stabilnosti prema Tehničkom propisu za građevinske konstrukcije. Sukladno navedenom Projekt cjelovite obnove konstrukcije sadrži sljedeće</w:t>
      </w:r>
      <w:r w:rsidR="00916EE3" w:rsidRPr="008F0295">
        <w:rPr>
          <w:rFonts w:ascii="Arial" w:hAnsi="Arial" w:cs="Arial"/>
          <w:sz w:val="20"/>
          <w:szCs w:val="20"/>
        </w:rPr>
        <w:t xml:space="preserve"> usluge</w:t>
      </w:r>
      <w:r w:rsidR="00081313" w:rsidRPr="008F0295">
        <w:rPr>
          <w:rFonts w:ascii="Arial" w:hAnsi="Arial" w:cs="Arial"/>
          <w:sz w:val="20"/>
          <w:szCs w:val="20"/>
        </w:rPr>
        <w:t xml:space="preserve"> s troškovničkim specifikacijama i procjenom troškova</w:t>
      </w:r>
      <w:r w:rsidR="00475CFD" w:rsidRPr="008F0295">
        <w:rPr>
          <w:rFonts w:ascii="Arial" w:hAnsi="Arial" w:cs="Arial"/>
          <w:sz w:val="20"/>
          <w:szCs w:val="20"/>
        </w:rPr>
        <w:t>:</w:t>
      </w:r>
    </w:p>
    <w:p w14:paraId="1ED71449" w14:textId="77777777" w:rsidR="00916EE3" w:rsidRPr="008F0295" w:rsidRDefault="00916E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34193E" w14:textId="5F946827" w:rsidR="002238CD" w:rsidRPr="008F0295" w:rsidRDefault="002238CD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građevinskog projekta konstrukcije</w:t>
      </w:r>
    </w:p>
    <w:p w14:paraId="4D103692" w14:textId="5221BD85" w:rsidR="00475CFD" w:rsidRPr="008F0295" w:rsidRDefault="00916EE3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a</w:t>
      </w:r>
      <w:r w:rsidR="00475CFD" w:rsidRPr="008F0295">
        <w:rPr>
          <w:rFonts w:ascii="Arial" w:hAnsi="Arial" w:cs="Arial"/>
          <w:sz w:val="20"/>
          <w:szCs w:val="20"/>
        </w:rPr>
        <w:t>rhitektonsk</w:t>
      </w:r>
      <w:r w:rsidRPr="008F0295">
        <w:rPr>
          <w:rFonts w:ascii="Arial" w:hAnsi="Arial" w:cs="Arial"/>
          <w:sz w:val="20"/>
          <w:szCs w:val="20"/>
        </w:rPr>
        <w:t>og</w:t>
      </w:r>
      <w:r w:rsidR="00475CFD" w:rsidRPr="008F0295">
        <w:rPr>
          <w:rFonts w:ascii="Arial" w:hAnsi="Arial" w:cs="Arial"/>
          <w:sz w:val="20"/>
          <w:szCs w:val="20"/>
        </w:rPr>
        <w:t xml:space="preserve"> projekt</w:t>
      </w:r>
      <w:r w:rsidRPr="008F0295">
        <w:rPr>
          <w:rFonts w:ascii="Arial" w:hAnsi="Arial" w:cs="Arial"/>
          <w:sz w:val="20"/>
          <w:szCs w:val="20"/>
        </w:rPr>
        <w:t>a</w:t>
      </w:r>
    </w:p>
    <w:p w14:paraId="2461E89C" w14:textId="66ECC2B7" w:rsidR="00475CFD" w:rsidRPr="008F0295" w:rsidRDefault="00916EE3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</w:t>
      </w:r>
      <w:r w:rsidR="00475CFD" w:rsidRPr="008F0295">
        <w:rPr>
          <w:rFonts w:ascii="Arial" w:hAnsi="Arial" w:cs="Arial"/>
          <w:sz w:val="20"/>
          <w:szCs w:val="20"/>
        </w:rPr>
        <w:t>rojekt</w:t>
      </w:r>
      <w:r w:rsidRPr="008F0295">
        <w:rPr>
          <w:rFonts w:ascii="Arial" w:hAnsi="Arial" w:cs="Arial"/>
          <w:sz w:val="20"/>
          <w:szCs w:val="20"/>
        </w:rPr>
        <w:t>a</w:t>
      </w:r>
      <w:r w:rsidR="00475CFD" w:rsidRPr="008F0295">
        <w:rPr>
          <w:rFonts w:ascii="Arial" w:hAnsi="Arial" w:cs="Arial"/>
          <w:sz w:val="20"/>
          <w:szCs w:val="20"/>
        </w:rPr>
        <w:t xml:space="preserve"> elektrotehničkih instalacija</w:t>
      </w:r>
    </w:p>
    <w:p w14:paraId="66BE45A9" w14:textId="03E8A416" w:rsidR="00475CFD" w:rsidRPr="008F0295" w:rsidRDefault="00916EE3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Izradu projekta </w:t>
      </w:r>
      <w:r w:rsidR="00475CFD" w:rsidRPr="008F0295">
        <w:rPr>
          <w:rFonts w:ascii="Arial" w:hAnsi="Arial" w:cs="Arial"/>
          <w:sz w:val="20"/>
          <w:szCs w:val="20"/>
        </w:rPr>
        <w:t xml:space="preserve">strojarskih instalacija  - </w:t>
      </w:r>
      <w:r w:rsidR="00AA21F5" w:rsidRPr="008F0295">
        <w:rPr>
          <w:rFonts w:ascii="Arial" w:hAnsi="Arial" w:cs="Arial"/>
          <w:sz w:val="20"/>
          <w:szCs w:val="20"/>
        </w:rPr>
        <w:t>grijanje, hlađenje i ventilacija</w:t>
      </w:r>
    </w:p>
    <w:p w14:paraId="60EFB672" w14:textId="6A7F4810" w:rsidR="00AA21F5" w:rsidRPr="008F0295" w:rsidRDefault="00916EE3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građevinskog projekta</w:t>
      </w:r>
      <w:r w:rsidR="00AA21F5" w:rsidRPr="008F0295">
        <w:rPr>
          <w:rFonts w:ascii="Arial" w:hAnsi="Arial" w:cs="Arial"/>
          <w:sz w:val="20"/>
          <w:szCs w:val="20"/>
        </w:rPr>
        <w:t xml:space="preserve"> vodovoda i odvodnje</w:t>
      </w:r>
    </w:p>
    <w:p w14:paraId="7CB01A9F" w14:textId="739C3D1B" w:rsidR="00AA21F5" w:rsidRPr="008F0295" w:rsidRDefault="00916EE3" w:rsidP="0014575B">
      <w:pPr>
        <w:pStyle w:val="ListParagraph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projekta</w:t>
      </w:r>
      <w:r w:rsidR="00AA21F5" w:rsidRPr="008F0295">
        <w:rPr>
          <w:rFonts w:ascii="Arial" w:hAnsi="Arial" w:cs="Arial"/>
          <w:sz w:val="20"/>
          <w:szCs w:val="20"/>
        </w:rPr>
        <w:t xml:space="preserve"> racionalne uporabe energije i toplinske zaštite</w:t>
      </w:r>
    </w:p>
    <w:p w14:paraId="728F9DC7" w14:textId="77777777" w:rsidR="0077031F" w:rsidRPr="008F0295" w:rsidRDefault="0077031F">
      <w:pPr>
        <w:spacing w:line="276" w:lineRule="auto"/>
        <w:ind w:left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61A692EB" w14:textId="2E3BAE2B" w:rsidR="00916EE3" w:rsidRPr="008F0295" w:rsidRDefault="00B7311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F0295">
        <w:rPr>
          <w:rFonts w:ascii="Arial" w:hAnsi="Arial" w:cs="Arial"/>
          <w:sz w:val="20"/>
          <w:szCs w:val="20"/>
          <w:u w:val="single"/>
        </w:rPr>
        <w:t>3</w:t>
      </w:r>
      <w:r w:rsidR="00916EE3" w:rsidRPr="008F0295">
        <w:rPr>
          <w:rFonts w:ascii="Arial" w:hAnsi="Arial" w:cs="Arial"/>
          <w:sz w:val="20"/>
          <w:szCs w:val="20"/>
          <w:u w:val="single"/>
        </w:rPr>
        <w:t>. Projekt cjelovite obnove zgrade</w:t>
      </w:r>
      <w:r w:rsidR="00B8247D" w:rsidRPr="008F0295">
        <w:rPr>
          <w:rFonts w:ascii="Arial" w:hAnsi="Arial" w:cs="Arial"/>
          <w:sz w:val="20"/>
          <w:szCs w:val="20"/>
          <w:u w:val="single"/>
        </w:rPr>
        <w:t xml:space="preserve"> i Glavni  projekt za ishođenje Građevinske dozvole za rekonstrukciju (prenamjena tavanskog prostora)</w:t>
      </w:r>
    </w:p>
    <w:p w14:paraId="7EE89F99" w14:textId="77777777" w:rsidR="00916EE3" w:rsidRPr="008F0295" w:rsidRDefault="00916E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B4A69F" w14:textId="42956E0E" w:rsidR="00823C0B" w:rsidRPr="008F0295" w:rsidRDefault="00410634" w:rsidP="0014575B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Projekt </w:t>
      </w:r>
      <w:r w:rsidR="00B8247D" w:rsidRPr="008F0295">
        <w:rPr>
          <w:rFonts w:ascii="Arial" w:hAnsi="Arial" w:cs="Arial"/>
          <w:sz w:val="20"/>
          <w:szCs w:val="20"/>
        </w:rPr>
        <w:t xml:space="preserve">cjelovite obnove zgrade </w:t>
      </w:r>
      <w:r w:rsidRPr="008F0295">
        <w:rPr>
          <w:rFonts w:ascii="Arial" w:hAnsi="Arial" w:cs="Arial"/>
          <w:sz w:val="20"/>
          <w:szCs w:val="20"/>
        </w:rPr>
        <w:t xml:space="preserve">sadrži opći i tehnički dio. U tehničkom dijelu definiraju se tekstualni i grafički prilozi projekta s dokazima o ispunjavanju temeljnih i drugih zahtjeva za građevinu u građevinskom projektu. U projektu obnove zgrade za cjelovitu obnovu zgrade arhitektonskim, građevinskim, elektrotehničkim i strojarskim projektima u odgovarajućim mapama pobliže se obrađuju pojedini sklopovi zgrade ili njezini dijelovi odnosno oblikovanje zgrade, te se procjenjuju troškovi za njezinu cjelovitu obnovu. Sukladno navedenom Projekt cjelovite obnove zgrade </w:t>
      </w:r>
      <w:r w:rsidR="00081313" w:rsidRPr="008F0295">
        <w:rPr>
          <w:rFonts w:ascii="Arial" w:hAnsi="Arial" w:cs="Arial"/>
          <w:sz w:val="20"/>
          <w:szCs w:val="20"/>
        </w:rPr>
        <w:t>sadrži sljedeće usluge s troškovničkim specifikacijama i procjenom troškova:</w:t>
      </w:r>
    </w:p>
    <w:p w14:paraId="00A90A2B" w14:textId="77777777" w:rsidR="00410634" w:rsidRPr="008F0295" w:rsidRDefault="00410634" w:rsidP="0014575B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6B82509" w14:textId="77777777" w:rsidR="00916EE3" w:rsidRPr="008F0295" w:rsidRDefault="00916EE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06F4F4F" w14:textId="77777777" w:rsidR="00916EE3" w:rsidRPr="008F0295" w:rsidRDefault="00916EE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1C52FE7" w14:textId="261BEFDC" w:rsidR="00916EE3" w:rsidRPr="008F0295" w:rsidRDefault="00916EE3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arhitektonskog projekta</w:t>
      </w:r>
    </w:p>
    <w:p w14:paraId="62323DF5" w14:textId="58753AFF" w:rsidR="00410634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građevinskog projekta konstrukcije</w:t>
      </w:r>
    </w:p>
    <w:p w14:paraId="30FFC492" w14:textId="77777777" w:rsidR="00916EE3" w:rsidRPr="008F0295" w:rsidRDefault="00916EE3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projekta elektrotehničkih instalacija</w:t>
      </w:r>
    </w:p>
    <w:p w14:paraId="13C525F4" w14:textId="53A21730" w:rsidR="00410634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projekta strojarskih instalacija - grijanje, hlađenje i ventilacija</w:t>
      </w:r>
    </w:p>
    <w:p w14:paraId="320DAF19" w14:textId="711BD407" w:rsidR="00916EE3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projekta strojarskih instalacija - vertikalni transport / dizalo i koso podizna platforma</w:t>
      </w:r>
    </w:p>
    <w:p w14:paraId="3E35B166" w14:textId="3E2F6BDA" w:rsidR="00410634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Izrada projekta strojarskih instalacija – stabilni sustav za gašenje požara</w:t>
      </w:r>
      <w:r w:rsidR="00766288" w:rsidRPr="008F0295">
        <w:rPr>
          <w:rFonts w:ascii="Arial" w:hAnsi="Arial" w:cs="Arial"/>
          <w:sz w:val="20"/>
          <w:szCs w:val="20"/>
        </w:rPr>
        <w:t>/sprinkler sustav</w:t>
      </w:r>
    </w:p>
    <w:p w14:paraId="208C0694" w14:textId="77777777" w:rsidR="00410634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građevinskog projekta vodovoda i odvodnje</w:t>
      </w:r>
    </w:p>
    <w:p w14:paraId="329E2959" w14:textId="77777777" w:rsidR="00410634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projekta racionalne uporabe energije i toplinske zaštite</w:t>
      </w:r>
    </w:p>
    <w:p w14:paraId="6CDC124E" w14:textId="5C0FF976" w:rsidR="00552480" w:rsidRPr="008F0295" w:rsidRDefault="00410634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Izradu p</w:t>
      </w:r>
      <w:r w:rsidR="00916EE3" w:rsidRPr="008F0295">
        <w:rPr>
          <w:rFonts w:ascii="Arial" w:hAnsi="Arial" w:cs="Arial"/>
          <w:sz w:val="20"/>
          <w:szCs w:val="20"/>
        </w:rPr>
        <w:t>rojekt</w:t>
      </w:r>
      <w:r w:rsidRPr="008F0295">
        <w:rPr>
          <w:rFonts w:ascii="Arial" w:hAnsi="Arial" w:cs="Arial"/>
          <w:sz w:val="20"/>
          <w:szCs w:val="20"/>
        </w:rPr>
        <w:t>a</w:t>
      </w:r>
      <w:r w:rsidR="00916EE3" w:rsidRPr="008F0295">
        <w:rPr>
          <w:rFonts w:ascii="Arial" w:hAnsi="Arial" w:cs="Arial"/>
          <w:sz w:val="20"/>
          <w:szCs w:val="20"/>
        </w:rPr>
        <w:t xml:space="preserve"> poboljšanja zvučne izolacije, zaštite od buke i vibracija te optimizacija prostorne akustike</w:t>
      </w:r>
    </w:p>
    <w:p w14:paraId="6DB66A19" w14:textId="77777777" w:rsidR="00CE36D0" w:rsidRPr="008F0295" w:rsidRDefault="00CE36D0">
      <w:pPr>
        <w:pStyle w:val="ListParagraph"/>
        <w:spacing w:line="276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777880CC" w14:textId="5F77D3C6" w:rsidR="00B8247D" w:rsidRPr="008F0295" w:rsidRDefault="00B8247D" w:rsidP="0014575B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Glavni projekt za ishođenje Građevinske dozvole za rekonstrukciju (prenamjena tavanskog </w:t>
      </w:r>
      <w:r w:rsidRPr="008F0295">
        <w:rPr>
          <w:rFonts w:ascii="Arial" w:hAnsi="Arial" w:cs="Arial"/>
          <w:sz w:val="20"/>
          <w:szCs w:val="20"/>
        </w:rPr>
        <w:lastRenderedPageBreak/>
        <w:t>prostora)</w:t>
      </w:r>
      <w:r w:rsidR="002326A4" w:rsidRPr="008F0295">
        <w:rPr>
          <w:rFonts w:ascii="Arial" w:hAnsi="Arial" w:cs="Arial"/>
          <w:sz w:val="20"/>
          <w:szCs w:val="20"/>
        </w:rPr>
        <w:t xml:space="preserve"> </w:t>
      </w:r>
      <w:r w:rsidRPr="008F0295">
        <w:rPr>
          <w:rFonts w:ascii="Arial" w:hAnsi="Arial" w:cs="Arial"/>
          <w:sz w:val="20"/>
          <w:szCs w:val="20"/>
        </w:rPr>
        <w:t>sadrži sve element sadrži sve potrebne  elemente sukladno Zakonu  o gradnji NN 153/13, 20/17, 39/19, 125/19), Zakonom o prostornom uređenju (NN 153/13, 65/17, 114/18, 39/19, 98/19) i ostalim pozitivnim propisima koji uređuju i propisuju djelatnosti obuhvaćene ovim postupkom nabave te koji reguliraju predmet projektiranja, kao i priznatim pravilima struke.</w:t>
      </w:r>
    </w:p>
    <w:p w14:paraId="370E494B" w14:textId="77777777" w:rsidR="00B8247D" w:rsidRPr="008F0295" w:rsidRDefault="00B824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17DADC" w14:textId="51982ED7" w:rsidR="008F517B" w:rsidRPr="008F0295" w:rsidRDefault="008F517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>Izrada projektno-tehničke dokumentacije smatra se izvršenom predajom Naručitelju u ugovorenom broju i obliku primjeraka, svih sastavnica projektno-tehničke dokumentacije</w:t>
      </w:r>
      <w:r w:rsidR="0095785A" w:rsidRPr="008F0295">
        <w:rPr>
          <w:rFonts w:ascii="Arial" w:hAnsi="Arial" w:cs="Arial"/>
          <w:sz w:val="20"/>
          <w:szCs w:val="20"/>
        </w:rPr>
        <w:t xml:space="preserve"> i elaborata</w:t>
      </w:r>
      <w:r w:rsidRPr="008F0295">
        <w:rPr>
          <w:rFonts w:ascii="Arial" w:hAnsi="Arial" w:cs="Arial"/>
          <w:sz w:val="20"/>
          <w:szCs w:val="20"/>
        </w:rPr>
        <w:t>, prethodno potvrđenih od strane Naručitelja.</w:t>
      </w:r>
    </w:p>
    <w:p w14:paraId="1CFB0663" w14:textId="0CF4772C" w:rsidR="00B66927" w:rsidRPr="008F0295" w:rsidRDefault="008F517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0295">
        <w:rPr>
          <w:rFonts w:ascii="Arial" w:hAnsi="Arial" w:cs="Arial"/>
          <w:sz w:val="20"/>
          <w:szCs w:val="20"/>
        </w:rPr>
        <w:t xml:space="preserve">Projektno-tehnička dokumentacija se predaje Naručitelju u </w:t>
      </w:r>
      <w:r w:rsidR="007721FB" w:rsidRPr="008F0295">
        <w:rPr>
          <w:rFonts w:ascii="Arial" w:hAnsi="Arial" w:cs="Arial"/>
          <w:sz w:val="20"/>
          <w:szCs w:val="20"/>
        </w:rPr>
        <w:t>3</w:t>
      </w:r>
      <w:r w:rsidRPr="008F0295">
        <w:rPr>
          <w:rFonts w:ascii="Arial" w:hAnsi="Arial" w:cs="Arial"/>
          <w:sz w:val="20"/>
          <w:szCs w:val="20"/>
        </w:rPr>
        <w:t xml:space="preserve"> primjerka na papirnom mediju te u jednom primjerku u digitalnom obliku na CD/DVD</w:t>
      </w:r>
      <w:r w:rsidR="007721FB" w:rsidRPr="008F0295">
        <w:rPr>
          <w:rFonts w:ascii="Arial" w:hAnsi="Arial" w:cs="Arial"/>
          <w:sz w:val="20"/>
          <w:szCs w:val="20"/>
        </w:rPr>
        <w:t xml:space="preserve"> ili putem e pošte</w:t>
      </w:r>
      <w:r w:rsidRPr="008F0295">
        <w:rPr>
          <w:rFonts w:ascii="Arial" w:hAnsi="Arial" w:cs="Arial"/>
          <w:sz w:val="20"/>
          <w:szCs w:val="20"/>
        </w:rPr>
        <w:t>. Dokumentacija mora biti u formatu *.pdf  i *.xls</w:t>
      </w:r>
      <w:r w:rsidR="006275D6" w:rsidRPr="008F0295">
        <w:rPr>
          <w:rFonts w:ascii="Arial" w:hAnsi="Arial" w:cs="Arial"/>
          <w:sz w:val="20"/>
          <w:szCs w:val="20"/>
        </w:rPr>
        <w:t>.</w:t>
      </w:r>
      <w:r w:rsidR="00B8247D" w:rsidRPr="008F0295">
        <w:rPr>
          <w:rFonts w:ascii="Arial" w:hAnsi="Arial" w:cs="Arial"/>
          <w:sz w:val="20"/>
          <w:szCs w:val="20"/>
        </w:rPr>
        <w:t xml:space="preserve">  Ostali uvjeti izrade projektno tehničke dokumentacije koji nisu navedeni ovim Prilogom ili Pozivom definiraju se Ugovorom.</w:t>
      </w:r>
    </w:p>
    <w:sectPr w:rsidR="00B66927" w:rsidRPr="008F029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7F57C" w14:textId="77777777" w:rsidR="002B7C71" w:rsidRDefault="002B7C71" w:rsidP="0077031F">
      <w:r>
        <w:separator/>
      </w:r>
    </w:p>
  </w:endnote>
  <w:endnote w:type="continuationSeparator" w:id="0">
    <w:p w14:paraId="72DC01B5" w14:textId="77777777" w:rsidR="002B7C71" w:rsidRDefault="002B7C71" w:rsidP="0077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0FD2E" w14:textId="77777777" w:rsidR="002B7C71" w:rsidRDefault="002B7C71" w:rsidP="0077031F">
      <w:r>
        <w:separator/>
      </w:r>
    </w:p>
  </w:footnote>
  <w:footnote w:type="continuationSeparator" w:id="0">
    <w:p w14:paraId="35E7EA92" w14:textId="77777777" w:rsidR="002B7C71" w:rsidRDefault="002B7C71" w:rsidP="0077031F">
      <w:r>
        <w:continuationSeparator/>
      </w:r>
    </w:p>
  </w:footnote>
  <w:footnote w:id="1">
    <w:p w14:paraId="392166C4" w14:textId="2FEB4F01" w:rsidR="009F2C64" w:rsidRDefault="009F2C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Građevina</w:t>
      </w:r>
      <w:r w:rsidRPr="00A2746E">
        <w:rPr>
          <w:sz w:val="18"/>
          <w:szCs w:val="18"/>
        </w:rPr>
        <w:t xml:space="preserve"> javne i društvene namjene je </w:t>
      </w:r>
      <w:r>
        <w:rPr>
          <w:sz w:val="18"/>
          <w:szCs w:val="18"/>
        </w:rPr>
        <w:t>građevina</w:t>
      </w:r>
      <w:r w:rsidRPr="00A2746E">
        <w:rPr>
          <w:sz w:val="18"/>
          <w:szCs w:val="18"/>
        </w:rPr>
        <w:t xml:space="preserve"> kako je određeno u definiciji članka 3. Zakona o prostornom uređenju (NN 153/13, 65/17, 114/18, 39/19)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7871" w14:textId="65D2BB79" w:rsidR="0077031F" w:rsidRDefault="0077031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6EFD9A" wp14:editId="310E8FC7">
          <wp:simplePos x="0" y="0"/>
          <wp:positionH relativeFrom="margin">
            <wp:align>right</wp:align>
          </wp:positionH>
          <wp:positionV relativeFrom="paragraph">
            <wp:posOffset>-334010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30430"/>
    <w:multiLevelType w:val="hybridMultilevel"/>
    <w:tmpl w:val="1FA8E61A"/>
    <w:lvl w:ilvl="0" w:tplc="2F2ACB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B28CC"/>
    <w:multiLevelType w:val="hybridMultilevel"/>
    <w:tmpl w:val="B21C81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55BF5"/>
    <w:multiLevelType w:val="hybridMultilevel"/>
    <w:tmpl w:val="C7A46478"/>
    <w:lvl w:ilvl="0" w:tplc="32CE706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0240D"/>
    <w:multiLevelType w:val="hybridMultilevel"/>
    <w:tmpl w:val="C96A6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07CF8"/>
    <w:multiLevelType w:val="multilevel"/>
    <w:tmpl w:val="F38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897006C"/>
    <w:multiLevelType w:val="multilevel"/>
    <w:tmpl w:val="319A46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3AC3199"/>
    <w:multiLevelType w:val="hybridMultilevel"/>
    <w:tmpl w:val="D3DAF1E4"/>
    <w:lvl w:ilvl="0" w:tplc="BAF26D5C">
      <w:start w:val="5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7" w15:restartNumberingAfterBreak="0">
    <w:nsid w:val="5CE872E5"/>
    <w:multiLevelType w:val="multilevel"/>
    <w:tmpl w:val="F38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132FBC"/>
    <w:multiLevelType w:val="multilevel"/>
    <w:tmpl w:val="87AEB2DE"/>
    <w:lvl w:ilvl="0">
      <w:start w:val="2"/>
      <w:numFmt w:val="decimal"/>
      <w:lvlText w:val="%1."/>
      <w:lvlJc w:val="left"/>
      <w:pPr>
        <w:ind w:left="321" w:hanging="221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529" w:hanging="387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100" w:hanging="663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3">
      <w:start w:val="1"/>
      <w:numFmt w:val="decimal"/>
      <w:lvlText w:val="%1.%2.%3.%4."/>
      <w:lvlJc w:val="left"/>
      <w:pPr>
        <w:ind w:left="926" w:hanging="82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2195" w:hanging="82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471" w:hanging="82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747" w:hanging="82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23" w:hanging="82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99" w:hanging="827"/>
      </w:pPr>
      <w:rPr>
        <w:rFonts w:hint="default"/>
        <w:lang w:val="hr-HR" w:eastAsia="hr-HR" w:bidi="hr-HR"/>
      </w:rPr>
    </w:lvl>
  </w:abstractNum>
  <w:abstractNum w:abstractNumId="9" w15:restartNumberingAfterBreak="0">
    <w:nsid w:val="5FEE05D5"/>
    <w:multiLevelType w:val="multilevel"/>
    <w:tmpl w:val="C8D2B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15A0AFA"/>
    <w:multiLevelType w:val="hybridMultilevel"/>
    <w:tmpl w:val="8738FE90"/>
    <w:lvl w:ilvl="0" w:tplc="7F7E6F76">
      <w:start w:val="1"/>
      <w:numFmt w:val="decimal"/>
      <w:lvlText w:val="%1."/>
      <w:lvlJc w:val="left"/>
      <w:pPr>
        <w:ind w:left="748" w:hanging="428"/>
        <w:jc w:val="right"/>
      </w:pPr>
      <w:rPr>
        <w:rFonts w:hint="default"/>
        <w:spacing w:val="-1"/>
        <w:w w:val="99"/>
        <w:lang w:val="hr-HR" w:eastAsia="en-US" w:bidi="ar-SA"/>
      </w:rPr>
    </w:lvl>
    <w:lvl w:ilvl="1" w:tplc="797C0A24">
      <w:numFmt w:val="bullet"/>
      <w:lvlText w:val=""/>
      <w:lvlJc w:val="left"/>
      <w:pPr>
        <w:ind w:left="1029" w:hanging="425"/>
      </w:pPr>
      <w:rPr>
        <w:rFonts w:hint="default"/>
        <w:w w:val="99"/>
        <w:lang w:val="hr-HR" w:eastAsia="en-US" w:bidi="ar-SA"/>
      </w:rPr>
    </w:lvl>
    <w:lvl w:ilvl="2" w:tplc="806C5476">
      <w:numFmt w:val="bullet"/>
      <w:lvlText w:val="•"/>
      <w:lvlJc w:val="left"/>
      <w:pPr>
        <w:ind w:left="2029" w:hanging="425"/>
      </w:pPr>
      <w:rPr>
        <w:rFonts w:hint="default"/>
        <w:lang w:val="hr-HR" w:eastAsia="en-US" w:bidi="ar-SA"/>
      </w:rPr>
    </w:lvl>
    <w:lvl w:ilvl="3" w:tplc="83889E58">
      <w:numFmt w:val="bullet"/>
      <w:lvlText w:val="•"/>
      <w:lvlJc w:val="left"/>
      <w:pPr>
        <w:ind w:left="3039" w:hanging="425"/>
      </w:pPr>
      <w:rPr>
        <w:rFonts w:hint="default"/>
        <w:lang w:val="hr-HR" w:eastAsia="en-US" w:bidi="ar-SA"/>
      </w:rPr>
    </w:lvl>
    <w:lvl w:ilvl="4" w:tplc="32B6C746">
      <w:numFmt w:val="bullet"/>
      <w:lvlText w:val="•"/>
      <w:lvlJc w:val="left"/>
      <w:pPr>
        <w:ind w:left="4048" w:hanging="425"/>
      </w:pPr>
      <w:rPr>
        <w:rFonts w:hint="default"/>
        <w:lang w:val="hr-HR" w:eastAsia="en-US" w:bidi="ar-SA"/>
      </w:rPr>
    </w:lvl>
    <w:lvl w:ilvl="5" w:tplc="5448AA6E">
      <w:numFmt w:val="bullet"/>
      <w:lvlText w:val="•"/>
      <w:lvlJc w:val="left"/>
      <w:pPr>
        <w:ind w:left="5058" w:hanging="425"/>
      </w:pPr>
      <w:rPr>
        <w:rFonts w:hint="default"/>
        <w:lang w:val="hr-HR" w:eastAsia="en-US" w:bidi="ar-SA"/>
      </w:rPr>
    </w:lvl>
    <w:lvl w:ilvl="6" w:tplc="DBF853DE">
      <w:numFmt w:val="bullet"/>
      <w:lvlText w:val="•"/>
      <w:lvlJc w:val="left"/>
      <w:pPr>
        <w:ind w:left="6068" w:hanging="425"/>
      </w:pPr>
      <w:rPr>
        <w:rFonts w:hint="default"/>
        <w:lang w:val="hr-HR" w:eastAsia="en-US" w:bidi="ar-SA"/>
      </w:rPr>
    </w:lvl>
    <w:lvl w:ilvl="7" w:tplc="C6FC6260">
      <w:numFmt w:val="bullet"/>
      <w:lvlText w:val="•"/>
      <w:lvlJc w:val="left"/>
      <w:pPr>
        <w:ind w:left="7077" w:hanging="425"/>
      </w:pPr>
      <w:rPr>
        <w:rFonts w:hint="default"/>
        <w:lang w:val="hr-HR" w:eastAsia="en-US" w:bidi="ar-SA"/>
      </w:rPr>
    </w:lvl>
    <w:lvl w:ilvl="8" w:tplc="93825DD2">
      <w:numFmt w:val="bullet"/>
      <w:lvlText w:val="•"/>
      <w:lvlJc w:val="left"/>
      <w:pPr>
        <w:ind w:left="8087" w:hanging="425"/>
      </w:pPr>
      <w:rPr>
        <w:rFonts w:hint="default"/>
        <w:lang w:val="hr-HR" w:eastAsia="en-US" w:bidi="ar-SA"/>
      </w:rPr>
    </w:lvl>
  </w:abstractNum>
  <w:abstractNum w:abstractNumId="11" w15:restartNumberingAfterBreak="0">
    <w:nsid w:val="634F186D"/>
    <w:multiLevelType w:val="multilevel"/>
    <w:tmpl w:val="28F0DD9C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40" w:hanging="1440"/>
      </w:pPr>
      <w:rPr>
        <w:rFonts w:hint="default"/>
      </w:rPr>
    </w:lvl>
  </w:abstractNum>
  <w:abstractNum w:abstractNumId="12" w15:restartNumberingAfterBreak="0">
    <w:nsid w:val="73AD7DDA"/>
    <w:multiLevelType w:val="hybridMultilevel"/>
    <w:tmpl w:val="0A42D232"/>
    <w:lvl w:ilvl="0" w:tplc="C2F83BDE">
      <w:numFmt w:val="bullet"/>
      <w:lvlText w:val="•"/>
      <w:lvlJc w:val="left"/>
      <w:pPr>
        <w:ind w:left="2086" w:hanging="360"/>
      </w:pPr>
      <w:rPr>
        <w:rFonts w:hint="default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2"/>
  </w:num>
  <w:num w:numId="5">
    <w:abstractNumId w:val="11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E7"/>
    <w:rsid w:val="00081313"/>
    <w:rsid w:val="0014575B"/>
    <w:rsid w:val="00182C7C"/>
    <w:rsid w:val="001E683E"/>
    <w:rsid w:val="002238CD"/>
    <w:rsid w:val="002326A4"/>
    <w:rsid w:val="002B7C71"/>
    <w:rsid w:val="003006C2"/>
    <w:rsid w:val="003570C2"/>
    <w:rsid w:val="003A33AD"/>
    <w:rsid w:val="003B47E2"/>
    <w:rsid w:val="003D4387"/>
    <w:rsid w:val="003D43E1"/>
    <w:rsid w:val="003F67E4"/>
    <w:rsid w:val="00410634"/>
    <w:rsid w:val="00441832"/>
    <w:rsid w:val="00475CFD"/>
    <w:rsid w:val="00497407"/>
    <w:rsid w:val="004B47E4"/>
    <w:rsid w:val="0052480E"/>
    <w:rsid w:val="00552480"/>
    <w:rsid w:val="00555E8C"/>
    <w:rsid w:val="005D4ADB"/>
    <w:rsid w:val="006275D6"/>
    <w:rsid w:val="00683884"/>
    <w:rsid w:val="006D5FEC"/>
    <w:rsid w:val="00704D5D"/>
    <w:rsid w:val="00711DD1"/>
    <w:rsid w:val="00766288"/>
    <w:rsid w:val="0077031F"/>
    <w:rsid w:val="00770629"/>
    <w:rsid w:val="007721FB"/>
    <w:rsid w:val="00807BA4"/>
    <w:rsid w:val="00823C0B"/>
    <w:rsid w:val="00836544"/>
    <w:rsid w:val="00890753"/>
    <w:rsid w:val="008E15B7"/>
    <w:rsid w:val="008F0295"/>
    <w:rsid w:val="008F2578"/>
    <w:rsid w:val="008F517B"/>
    <w:rsid w:val="00916EE3"/>
    <w:rsid w:val="009259D2"/>
    <w:rsid w:val="00950719"/>
    <w:rsid w:val="0095785A"/>
    <w:rsid w:val="00977D66"/>
    <w:rsid w:val="009A04E8"/>
    <w:rsid w:val="009E25D6"/>
    <w:rsid w:val="009F2C64"/>
    <w:rsid w:val="00AA21F5"/>
    <w:rsid w:val="00B230B7"/>
    <w:rsid w:val="00B66927"/>
    <w:rsid w:val="00B73116"/>
    <w:rsid w:val="00B8247D"/>
    <w:rsid w:val="00BD1D2D"/>
    <w:rsid w:val="00BF4D10"/>
    <w:rsid w:val="00C96AE7"/>
    <w:rsid w:val="00CC112C"/>
    <w:rsid w:val="00CE36D0"/>
    <w:rsid w:val="00D1684E"/>
    <w:rsid w:val="00DF460D"/>
    <w:rsid w:val="00F74719"/>
    <w:rsid w:val="00F94ED3"/>
    <w:rsid w:val="00FE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C1C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6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6A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6AE7"/>
    <w:rPr>
      <w:rFonts w:asciiTheme="majorHAnsi" w:eastAsiaTheme="majorEastAsia" w:hAnsiTheme="majorHAnsi" w:cstheme="majorBidi"/>
      <w:i/>
      <w:iCs/>
      <w:color w:val="2F5496" w:themeColor="accent1" w:themeShade="BF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C96AE7"/>
  </w:style>
  <w:style w:type="character" w:customStyle="1" w:styleId="BodyTextChar">
    <w:name w:val="Body Text Char"/>
    <w:basedOn w:val="DefaultParagraphFont"/>
    <w:link w:val="BodyText"/>
    <w:uiPriority w:val="1"/>
    <w:rsid w:val="00C96AE7"/>
    <w:rPr>
      <w:rFonts w:ascii="Times New Roman" w:eastAsia="Times New Roman" w:hAnsi="Times New Roman" w:cs="Times New Roman"/>
      <w:lang w:eastAsia="hr-HR" w:bidi="hr-HR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ListParagraphChar"/>
    <w:uiPriority w:val="99"/>
    <w:qFormat/>
    <w:rsid w:val="00C96AE7"/>
    <w:pPr>
      <w:ind w:left="487"/>
    </w:pPr>
  </w:style>
  <w:style w:type="character" w:customStyle="1" w:styleId="ListParagraphChar">
    <w:name w:val="List Paragraph Char"/>
    <w:aliases w:val="Heading 12 Char,heading 1 Char,naslov 1 Char,Naslov 12 Char,Graf Char,TG lista Char,Graf1 Char,Graf2 Char,Graf3 Char,Graf4 Char,Graf5 Char,Graf6 Char,Graf7 Char,Graf8 Char,Graf9 Char,Graf10 Char,Graf11 Char,Graf12 Char,Graf13 Char"/>
    <w:basedOn w:val="DefaultParagraphFont"/>
    <w:link w:val="ListParagraph"/>
    <w:uiPriority w:val="99"/>
    <w:qFormat/>
    <w:locked/>
    <w:rsid w:val="00C96AE7"/>
    <w:rPr>
      <w:rFonts w:ascii="Times New Roman" w:eastAsia="Times New Roman" w:hAnsi="Times New Roman" w:cs="Times New Roman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17B"/>
    <w:rPr>
      <w:rFonts w:ascii="Segoe UI" w:eastAsia="Times New Roman" w:hAnsi="Segoe UI" w:cs="Segoe UI"/>
      <w:sz w:val="18"/>
      <w:szCs w:val="18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97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4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407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407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7703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31F"/>
    <w:rPr>
      <w:rFonts w:ascii="Times New Roman" w:eastAsia="Times New Roman" w:hAnsi="Times New Roman" w:cs="Times New Roman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7703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31F"/>
    <w:rPr>
      <w:rFonts w:ascii="Times New Roman" w:eastAsia="Times New Roman" w:hAnsi="Times New Roman" w:cs="Times New Roman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2C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2C6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9F2C6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24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4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59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gz.hr/hgz-dokumentacij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C3206-B84E-4A30-91B5-BEFBA509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2021-03-17T15:06:00Z</dcterms:created>
  <dcterms:modified xsi:type="dcterms:W3CDTF">2021-03-17T15:21:00Z</dcterms:modified>
</cp:coreProperties>
</file>