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70BD7" w14:textId="77777777" w:rsidR="009756CD" w:rsidRPr="00692CF4" w:rsidRDefault="009756CD" w:rsidP="009756CD">
      <w:pPr>
        <w:ind w:left="5812" w:right="328"/>
        <w:rPr>
          <w:sz w:val="22"/>
          <w:szCs w:val="22"/>
          <w:lang w:val="hr-HR"/>
        </w:rPr>
      </w:pPr>
    </w:p>
    <w:p w14:paraId="17B0DD64" w14:textId="77777777" w:rsidR="00077F6E" w:rsidRPr="0099305C" w:rsidRDefault="00077F6E" w:rsidP="00136766">
      <w:pPr>
        <w:rPr>
          <w:sz w:val="24"/>
          <w:szCs w:val="24"/>
          <w:lang w:val="hr-HR"/>
        </w:rPr>
        <w:sectPr w:rsidR="00077F6E" w:rsidRPr="0099305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134" w:right="851" w:bottom="1134" w:left="1797" w:header="720" w:footer="720" w:gutter="0"/>
          <w:cols w:space="720"/>
        </w:sectPr>
      </w:pPr>
    </w:p>
    <w:p w14:paraId="7729FF52" w14:textId="77777777" w:rsidR="009F5DA5" w:rsidRPr="0099305C" w:rsidRDefault="009F5DA5" w:rsidP="00136766">
      <w:pPr>
        <w:rPr>
          <w:sz w:val="24"/>
          <w:szCs w:val="24"/>
          <w:lang w:val="hr-HR"/>
        </w:rPr>
      </w:pPr>
    </w:p>
    <w:p w14:paraId="2134DD42" w14:textId="77777777" w:rsidR="009F5DA5" w:rsidRPr="0099305C" w:rsidRDefault="009F5DA5" w:rsidP="0027401C">
      <w:pPr>
        <w:pStyle w:val="Header"/>
        <w:jc w:val="both"/>
        <w:rPr>
          <w:b/>
          <w:sz w:val="28"/>
          <w:szCs w:val="28"/>
          <w:lang w:val="hr-HR"/>
        </w:rPr>
      </w:pPr>
      <w:r w:rsidRPr="0099305C">
        <w:rPr>
          <w:b/>
          <w:sz w:val="28"/>
          <w:szCs w:val="28"/>
          <w:lang w:val="hr-HR"/>
        </w:rPr>
        <w:t>Definiranje kategorizacije zahtjeva u Tehničkim uvjetima pri nabavi opreme</w:t>
      </w:r>
    </w:p>
    <w:p w14:paraId="0418F92F" w14:textId="77777777" w:rsidR="009F5DA5" w:rsidRDefault="009F5DA5" w:rsidP="0027401C">
      <w:pPr>
        <w:jc w:val="both"/>
        <w:rPr>
          <w:sz w:val="24"/>
          <w:szCs w:val="24"/>
          <w:lang w:val="hr-HR"/>
        </w:rPr>
      </w:pPr>
    </w:p>
    <w:p w14:paraId="4D1C2922" w14:textId="77777777" w:rsidR="00BF249F" w:rsidRPr="0099305C" w:rsidRDefault="00BF249F" w:rsidP="0027401C">
      <w:pPr>
        <w:jc w:val="both"/>
        <w:rPr>
          <w:sz w:val="24"/>
          <w:szCs w:val="24"/>
          <w:lang w:val="hr-HR"/>
        </w:rPr>
      </w:pPr>
    </w:p>
    <w:p w14:paraId="4C62EBDF" w14:textId="77777777" w:rsidR="009F5DA5" w:rsidRPr="0099305C" w:rsidRDefault="009F5DA5" w:rsidP="0027401C">
      <w:pPr>
        <w:jc w:val="both"/>
        <w:rPr>
          <w:sz w:val="24"/>
          <w:szCs w:val="24"/>
          <w:lang w:val="hr-HR"/>
        </w:rPr>
      </w:pPr>
      <w:r w:rsidRPr="0099305C">
        <w:rPr>
          <w:sz w:val="24"/>
          <w:szCs w:val="24"/>
          <w:lang w:val="hr-HR"/>
        </w:rPr>
        <w:t xml:space="preserve">Prilikom isporuke opreme </w:t>
      </w:r>
      <w:r w:rsidR="00CD3609">
        <w:rPr>
          <w:sz w:val="24"/>
          <w:szCs w:val="24"/>
          <w:lang w:val="hr-HR"/>
        </w:rPr>
        <w:t>izvođač</w:t>
      </w:r>
      <w:r w:rsidRPr="0099305C">
        <w:rPr>
          <w:sz w:val="24"/>
          <w:szCs w:val="24"/>
          <w:lang w:val="hr-HR"/>
        </w:rPr>
        <w:t xml:space="preserve"> je dužan pridržavati se prioriteta važnosti pojedinih točaka ovih uvjeta koji su označeni masnim slovima sa lijeve strane teksta.</w:t>
      </w:r>
    </w:p>
    <w:p w14:paraId="09FFA0C8" w14:textId="77777777" w:rsidR="009F5DA5" w:rsidRPr="0099305C" w:rsidRDefault="009F5DA5" w:rsidP="0027401C">
      <w:pPr>
        <w:jc w:val="both"/>
        <w:rPr>
          <w:sz w:val="24"/>
          <w:szCs w:val="24"/>
          <w:lang w:val="hr-HR"/>
        </w:rPr>
      </w:pPr>
      <w:r w:rsidRPr="0099305C">
        <w:rPr>
          <w:sz w:val="24"/>
          <w:szCs w:val="24"/>
          <w:lang w:val="hr-HR"/>
        </w:rPr>
        <w:t>Prioritet je definiran prema međunarodnim oznakama skraćenica sa engleskog govornog područja prema napomeni koja slijedi:</w:t>
      </w:r>
    </w:p>
    <w:p w14:paraId="2EC7D92C" w14:textId="77777777" w:rsidR="009F5DA5" w:rsidRPr="0099305C" w:rsidRDefault="009F5DA5" w:rsidP="0027401C">
      <w:pPr>
        <w:jc w:val="both"/>
        <w:rPr>
          <w:sz w:val="24"/>
          <w:szCs w:val="24"/>
          <w:lang w:val="hr-HR"/>
        </w:rPr>
      </w:pPr>
    </w:p>
    <w:p w14:paraId="43E32F85" w14:textId="77777777" w:rsidR="009F5DA5" w:rsidRPr="00961941" w:rsidRDefault="009F5DA5" w:rsidP="0027401C">
      <w:pPr>
        <w:jc w:val="both"/>
        <w:rPr>
          <w:sz w:val="24"/>
          <w:szCs w:val="24"/>
          <w:lang w:val="hr-HR"/>
        </w:rPr>
      </w:pPr>
    </w:p>
    <w:p w14:paraId="7DA2E68B" w14:textId="77777777" w:rsidR="00BF249F" w:rsidRPr="00961941" w:rsidRDefault="00BF249F" w:rsidP="00BF249F">
      <w:pPr>
        <w:ind w:left="1134" w:hanging="1134"/>
        <w:jc w:val="both"/>
        <w:rPr>
          <w:sz w:val="24"/>
          <w:lang w:val="hr-HR"/>
        </w:rPr>
      </w:pPr>
      <w:r w:rsidRPr="00961941">
        <w:rPr>
          <w:b/>
          <w:bCs/>
          <w:sz w:val="24"/>
          <w:lang w:val="hr-HR"/>
        </w:rPr>
        <w:t>(M)</w:t>
      </w:r>
      <w:r w:rsidRPr="00961941">
        <w:rPr>
          <w:b/>
          <w:bCs/>
          <w:sz w:val="24"/>
          <w:lang w:val="hr-HR"/>
        </w:rPr>
        <w:tab/>
        <w:t>(</w:t>
      </w:r>
      <w:r w:rsidRPr="00961941">
        <w:rPr>
          <w:sz w:val="24"/>
          <w:lang w:val="hr-HR"/>
        </w:rPr>
        <w:t xml:space="preserve">MANDATORY </w:t>
      </w:r>
      <w:proofErr w:type="spellStart"/>
      <w:r w:rsidRPr="00961941">
        <w:rPr>
          <w:sz w:val="24"/>
          <w:lang w:val="hr-HR"/>
        </w:rPr>
        <w:t>requirements</w:t>
      </w:r>
      <w:proofErr w:type="spellEnd"/>
      <w:r w:rsidRPr="00961941">
        <w:rPr>
          <w:b/>
          <w:bCs/>
          <w:sz w:val="24"/>
          <w:lang w:val="hr-HR"/>
        </w:rPr>
        <w:t xml:space="preserve">)- </w:t>
      </w:r>
      <w:r w:rsidRPr="00961941">
        <w:rPr>
          <w:sz w:val="24"/>
          <w:lang w:val="hr-HR"/>
        </w:rPr>
        <w:t xml:space="preserve">predstavlja obavezan zahtjev koji mora biti ispunjen od strane </w:t>
      </w:r>
      <w:r w:rsidR="00CD3609">
        <w:rPr>
          <w:sz w:val="24"/>
          <w:szCs w:val="24"/>
          <w:lang w:val="hr-HR"/>
        </w:rPr>
        <w:t>izvođač</w:t>
      </w:r>
      <w:r w:rsidR="004F0691">
        <w:rPr>
          <w:sz w:val="24"/>
          <w:lang w:val="hr-HR"/>
        </w:rPr>
        <w:t>a</w:t>
      </w:r>
      <w:r w:rsidRPr="00961941">
        <w:rPr>
          <w:sz w:val="24"/>
          <w:lang w:val="hr-HR"/>
        </w:rPr>
        <w:t xml:space="preserve"> pri isporuci opreme. </w:t>
      </w:r>
    </w:p>
    <w:p w14:paraId="6D734B8B" w14:textId="77777777" w:rsidR="00BF249F" w:rsidRPr="00961941" w:rsidRDefault="00BF249F" w:rsidP="00BF249F">
      <w:pPr>
        <w:ind w:left="1134" w:hanging="1134"/>
        <w:jc w:val="both"/>
        <w:rPr>
          <w:sz w:val="24"/>
          <w:lang w:val="hr-HR"/>
        </w:rPr>
      </w:pPr>
    </w:p>
    <w:p w14:paraId="7B2606CF" w14:textId="77777777" w:rsidR="00BF249F" w:rsidRPr="00961941" w:rsidRDefault="00BF249F" w:rsidP="00BF249F">
      <w:pPr>
        <w:ind w:left="1134"/>
        <w:rPr>
          <w:lang w:val="hr-HR"/>
        </w:rPr>
      </w:pPr>
    </w:p>
    <w:p w14:paraId="7CE02204" w14:textId="77777777" w:rsidR="00BF249F" w:rsidRPr="00961941" w:rsidRDefault="00BF249F" w:rsidP="00BF249F">
      <w:pPr>
        <w:ind w:left="1134" w:hanging="1134"/>
        <w:jc w:val="both"/>
        <w:rPr>
          <w:sz w:val="24"/>
          <w:lang w:val="hr-HR"/>
        </w:rPr>
      </w:pPr>
      <w:r w:rsidRPr="00961941">
        <w:rPr>
          <w:b/>
          <w:bCs/>
          <w:sz w:val="24"/>
          <w:lang w:val="hr-HR"/>
        </w:rPr>
        <w:t>(D)</w:t>
      </w:r>
      <w:r w:rsidRPr="00961941">
        <w:rPr>
          <w:b/>
          <w:bCs/>
          <w:sz w:val="24"/>
          <w:lang w:val="hr-HR"/>
        </w:rPr>
        <w:tab/>
      </w:r>
      <w:r w:rsidRPr="00961941">
        <w:rPr>
          <w:sz w:val="24"/>
          <w:lang w:val="hr-HR"/>
        </w:rPr>
        <w:t xml:space="preserve">(DESIRABLE </w:t>
      </w:r>
      <w:proofErr w:type="spellStart"/>
      <w:r w:rsidRPr="00961941">
        <w:rPr>
          <w:sz w:val="24"/>
          <w:lang w:val="hr-HR"/>
        </w:rPr>
        <w:t>features</w:t>
      </w:r>
      <w:proofErr w:type="spellEnd"/>
      <w:r w:rsidRPr="00961941">
        <w:rPr>
          <w:b/>
          <w:bCs/>
          <w:sz w:val="24"/>
          <w:lang w:val="hr-HR"/>
        </w:rPr>
        <w:t xml:space="preserve">)- </w:t>
      </w:r>
      <w:r w:rsidRPr="00961941">
        <w:rPr>
          <w:sz w:val="24"/>
          <w:lang w:val="hr-HR"/>
        </w:rPr>
        <w:t>predstavlja poželjne karakteristike materijala.</w:t>
      </w:r>
    </w:p>
    <w:p w14:paraId="3D85E62B" w14:textId="77777777" w:rsidR="00BF249F" w:rsidRPr="00961941" w:rsidRDefault="00BF249F" w:rsidP="00BF249F">
      <w:pPr>
        <w:ind w:left="1134" w:hanging="1134"/>
        <w:jc w:val="both"/>
        <w:rPr>
          <w:sz w:val="24"/>
          <w:lang w:val="hr-HR"/>
        </w:rPr>
      </w:pPr>
    </w:p>
    <w:p w14:paraId="54DBDD0E" w14:textId="77777777" w:rsidR="00BF249F" w:rsidRPr="00961941" w:rsidRDefault="00BF249F" w:rsidP="00BF249F">
      <w:pPr>
        <w:ind w:left="1134"/>
        <w:rPr>
          <w:lang w:val="hr-HR"/>
        </w:rPr>
      </w:pPr>
    </w:p>
    <w:p w14:paraId="11BC4F56" w14:textId="77777777" w:rsidR="00BF249F" w:rsidRPr="00961941" w:rsidRDefault="00BF249F" w:rsidP="00BF249F">
      <w:pPr>
        <w:ind w:left="1134" w:hanging="1134"/>
        <w:jc w:val="both"/>
        <w:rPr>
          <w:sz w:val="24"/>
          <w:lang w:val="hr-HR"/>
        </w:rPr>
      </w:pPr>
      <w:r w:rsidRPr="00961941">
        <w:rPr>
          <w:b/>
          <w:bCs/>
          <w:sz w:val="24"/>
          <w:lang w:val="hr-HR"/>
        </w:rPr>
        <w:t>(I)</w:t>
      </w:r>
      <w:r w:rsidRPr="00961941">
        <w:rPr>
          <w:b/>
          <w:bCs/>
          <w:sz w:val="24"/>
          <w:lang w:val="hr-HR"/>
        </w:rPr>
        <w:tab/>
      </w:r>
      <w:r w:rsidRPr="00961941">
        <w:rPr>
          <w:sz w:val="24"/>
          <w:lang w:val="hr-HR"/>
        </w:rPr>
        <w:t xml:space="preserve">(Info to </w:t>
      </w:r>
      <w:proofErr w:type="spellStart"/>
      <w:r w:rsidRPr="00961941">
        <w:rPr>
          <w:sz w:val="24"/>
          <w:lang w:val="hr-HR"/>
        </w:rPr>
        <w:t>Bidder</w:t>
      </w:r>
      <w:proofErr w:type="spellEnd"/>
      <w:r w:rsidRPr="00961941">
        <w:rPr>
          <w:sz w:val="24"/>
          <w:lang w:val="hr-HR"/>
        </w:rPr>
        <w:t>)-</w:t>
      </w:r>
      <w:r w:rsidRPr="00961941">
        <w:rPr>
          <w:b/>
          <w:bCs/>
          <w:sz w:val="24"/>
          <w:lang w:val="hr-HR"/>
        </w:rPr>
        <w:t xml:space="preserve"> </w:t>
      </w:r>
      <w:r w:rsidRPr="00961941">
        <w:rPr>
          <w:sz w:val="24"/>
          <w:lang w:val="hr-HR"/>
        </w:rPr>
        <w:t xml:space="preserve">predstavlja informaciju od HT-a prema </w:t>
      </w:r>
      <w:r w:rsidR="00CD3609">
        <w:rPr>
          <w:sz w:val="24"/>
          <w:szCs w:val="24"/>
          <w:lang w:val="hr-HR"/>
        </w:rPr>
        <w:t>izvođač</w:t>
      </w:r>
      <w:r w:rsidR="004F0691">
        <w:rPr>
          <w:sz w:val="24"/>
          <w:lang w:val="hr-HR"/>
        </w:rPr>
        <w:t>u</w:t>
      </w:r>
      <w:r w:rsidRPr="00961941">
        <w:rPr>
          <w:sz w:val="24"/>
          <w:lang w:val="hr-HR"/>
        </w:rPr>
        <w:t xml:space="preserve">. Predmetna stavka nije uvjet već pomaže </w:t>
      </w:r>
      <w:r w:rsidR="00CD3609">
        <w:rPr>
          <w:sz w:val="24"/>
          <w:szCs w:val="24"/>
          <w:lang w:val="hr-HR"/>
        </w:rPr>
        <w:t>izvođaču</w:t>
      </w:r>
      <w:r w:rsidR="004F0691">
        <w:rPr>
          <w:sz w:val="24"/>
          <w:lang w:val="hr-HR"/>
        </w:rPr>
        <w:t xml:space="preserve"> </w:t>
      </w:r>
      <w:r w:rsidRPr="00961941">
        <w:rPr>
          <w:sz w:val="24"/>
          <w:lang w:val="hr-HR"/>
        </w:rPr>
        <w:t>da lakše ispuni zahtjeve iz ovih Tehničkih uvjeta.</w:t>
      </w:r>
    </w:p>
    <w:p w14:paraId="003C4347" w14:textId="77777777" w:rsidR="009F5DA5" w:rsidRPr="00961941" w:rsidRDefault="009F5DA5" w:rsidP="0027401C">
      <w:pPr>
        <w:jc w:val="both"/>
        <w:rPr>
          <w:lang w:val="hr-HR"/>
        </w:rPr>
      </w:pPr>
    </w:p>
    <w:p w14:paraId="22EDB4A4" w14:textId="77777777" w:rsidR="009F5DA5" w:rsidRPr="00961941" w:rsidRDefault="009F5DA5" w:rsidP="0027401C">
      <w:pPr>
        <w:jc w:val="both"/>
        <w:rPr>
          <w:lang w:val="hr-HR"/>
        </w:rPr>
      </w:pPr>
    </w:p>
    <w:p w14:paraId="1437B3C0" w14:textId="77777777" w:rsidR="006B276C" w:rsidRPr="00961941" w:rsidRDefault="006B276C" w:rsidP="0027401C">
      <w:pPr>
        <w:jc w:val="both"/>
        <w:rPr>
          <w:lang w:val="hr-HR"/>
        </w:rPr>
      </w:pPr>
    </w:p>
    <w:p w14:paraId="37F78925" w14:textId="77777777" w:rsidR="00BF249F" w:rsidRPr="00961941" w:rsidRDefault="00BF249F" w:rsidP="0027401C">
      <w:pPr>
        <w:pStyle w:val="Header"/>
        <w:jc w:val="both"/>
        <w:rPr>
          <w:b/>
          <w:sz w:val="28"/>
          <w:szCs w:val="28"/>
          <w:lang w:val="hr-HR"/>
        </w:rPr>
      </w:pPr>
    </w:p>
    <w:p w14:paraId="2E55135B" w14:textId="77777777" w:rsidR="009F5DA5" w:rsidRPr="00961941" w:rsidRDefault="009F5DA5" w:rsidP="0027401C">
      <w:pPr>
        <w:pStyle w:val="Header"/>
        <w:jc w:val="both"/>
        <w:rPr>
          <w:b/>
          <w:sz w:val="28"/>
          <w:szCs w:val="28"/>
          <w:lang w:val="hr-HR"/>
        </w:rPr>
      </w:pPr>
      <w:r w:rsidRPr="00961941">
        <w:rPr>
          <w:b/>
          <w:sz w:val="28"/>
          <w:szCs w:val="28"/>
          <w:lang w:val="hr-HR"/>
        </w:rPr>
        <w:t xml:space="preserve">TEHNIČKI UVJETI ZA ŠIROKOPOJASNI </w:t>
      </w:r>
      <w:r w:rsidR="00842998" w:rsidRPr="00961941">
        <w:rPr>
          <w:b/>
          <w:sz w:val="28"/>
          <w:szCs w:val="28"/>
          <w:lang w:val="hr-HR"/>
        </w:rPr>
        <w:t>PLANARNI OPTIČKI SPREŽNIK</w:t>
      </w:r>
    </w:p>
    <w:p w14:paraId="10D44568" w14:textId="77777777" w:rsidR="009F5DA5" w:rsidRPr="00961941" w:rsidRDefault="009F5DA5" w:rsidP="0027401C">
      <w:pPr>
        <w:jc w:val="both"/>
        <w:rPr>
          <w:lang w:val="hr-HR"/>
        </w:rPr>
      </w:pPr>
    </w:p>
    <w:p w14:paraId="3A7754DD" w14:textId="77777777" w:rsidR="00185306" w:rsidRPr="00961941" w:rsidRDefault="00185306" w:rsidP="0027401C">
      <w:pPr>
        <w:jc w:val="both"/>
        <w:rPr>
          <w:lang w:val="hr-HR"/>
        </w:rPr>
      </w:pPr>
    </w:p>
    <w:p w14:paraId="0EFF70F7" w14:textId="77777777" w:rsidR="00185306" w:rsidRPr="00961941" w:rsidRDefault="00185306" w:rsidP="0027401C">
      <w:pPr>
        <w:jc w:val="both"/>
        <w:rPr>
          <w:lang w:val="hr-HR"/>
        </w:rPr>
      </w:pPr>
    </w:p>
    <w:p w14:paraId="789D5C90" w14:textId="77777777" w:rsidR="00267EA3" w:rsidRPr="00961941" w:rsidRDefault="009F5DA5" w:rsidP="0027401C">
      <w:pPr>
        <w:pStyle w:val="Heading1"/>
        <w:jc w:val="both"/>
        <w:rPr>
          <w:b/>
        </w:rPr>
      </w:pPr>
      <w:r w:rsidRPr="00961941">
        <w:rPr>
          <w:b/>
        </w:rPr>
        <w:t>OPĆE ODREDBE</w:t>
      </w:r>
    </w:p>
    <w:p w14:paraId="47F5004A" w14:textId="77777777" w:rsidR="009F5DA5" w:rsidRPr="00961941" w:rsidRDefault="009F5DA5" w:rsidP="0027401C">
      <w:pPr>
        <w:jc w:val="both"/>
        <w:rPr>
          <w:lang w:val="hr-HR"/>
        </w:rPr>
      </w:pPr>
    </w:p>
    <w:p w14:paraId="1D18FA04" w14:textId="77777777" w:rsidR="009F5DA5" w:rsidRPr="00961941" w:rsidRDefault="00880F0A" w:rsidP="003C25C0">
      <w:pPr>
        <w:pStyle w:val="Heading2"/>
        <w:tabs>
          <w:tab w:val="clear" w:pos="851"/>
          <w:tab w:val="num" w:pos="709"/>
        </w:tabs>
        <w:jc w:val="both"/>
      </w:pPr>
      <w:r w:rsidRPr="00961941">
        <w:t>{</w:t>
      </w:r>
      <w:r w:rsidRPr="00961941">
        <w:rPr>
          <w:b/>
        </w:rPr>
        <w:t>I</w:t>
      </w:r>
      <w:r w:rsidRPr="00961941">
        <w:t>}</w:t>
      </w:r>
      <w:r w:rsidR="001C6AC6" w:rsidRPr="00961941">
        <w:tab/>
      </w:r>
      <w:r w:rsidR="009F5DA5" w:rsidRPr="00961941">
        <w:t>Ovi tehničkim uvjetima propisuje se namjena, konstrukcija, geometrijske, opti</w:t>
      </w:r>
      <w:r w:rsidR="009F5DA5" w:rsidRPr="00961941">
        <w:rPr>
          <w:rFonts w:ascii="Times New Roman" w:hAnsi="Times New Roman"/>
        </w:rPr>
        <w:t>č</w:t>
      </w:r>
      <w:r w:rsidR="009F5DA5" w:rsidRPr="00961941">
        <w:rPr>
          <w:rFonts w:cs="Times New (W1)"/>
        </w:rPr>
        <w:t>ke, prijenosne, mehani</w:t>
      </w:r>
      <w:r w:rsidR="009F5DA5" w:rsidRPr="00961941">
        <w:rPr>
          <w:rFonts w:ascii="Times New Roman" w:hAnsi="Times New Roman"/>
        </w:rPr>
        <w:t>č</w:t>
      </w:r>
      <w:r w:rsidR="009F5DA5" w:rsidRPr="00961941">
        <w:rPr>
          <w:rFonts w:cs="Times New (W1)"/>
        </w:rPr>
        <w:t>ke i klimatske zna</w:t>
      </w:r>
      <w:r w:rsidR="009F5DA5" w:rsidRPr="00961941">
        <w:rPr>
          <w:rFonts w:ascii="Times New Roman" w:hAnsi="Times New Roman"/>
        </w:rPr>
        <w:t>č</w:t>
      </w:r>
      <w:r w:rsidR="009F5DA5" w:rsidRPr="00961941">
        <w:rPr>
          <w:rFonts w:cs="Times New (W1)"/>
        </w:rPr>
        <w:t xml:space="preserve">ajke širokopojasnih </w:t>
      </w:r>
      <w:proofErr w:type="spellStart"/>
      <w:r w:rsidR="00516A3E" w:rsidRPr="00961941">
        <w:t>planarnih</w:t>
      </w:r>
      <w:proofErr w:type="spellEnd"/>
      <w:r w:rsidR="00516A3E" w:rsidRPr="00961941">
        <w:t xml:space="preserve"> opti</w:t>
      </w:r>
      <w:r w:rsidR="00516A3E" w:rsidRPr="00961941">
        <w:rPr>
          <w:rFonts w:ascii="Times New Roman" w:hAnsi="Times New Roman"/>
        </w:rPr>
        <w:t>č</w:t>
      </w:r>
      <w:r w:rsidR="00516A3E" w:rsidRPr="00961941">
        <w:rPr>
          <w:rFonts w:cs="Times New (W1)"/>
        </w:rPr>
        <w:t xml:space="preserve">kih </w:t>
      </w:r>
      <w:proofErr w:type="spellStart"/>
      <w:r w:rsidR="00516A3E" w:rsidRPr="00961941">
        <w:rPr>
          <w:rFonts w:cs="Times New (W1)"/>
        </w:rPr>
        <w:t>sprežnika</w:t>
      </w:r>
      <w:proofErr w:type="spellEnd"/>
      <w:r w:rsidR="00516A3E" w:rsidRPr="00961941">
        <w:rPr>
          <w:rFonts w:cs="Times New (W1)"/>
        </w:rPr>
        <w:t xml:space="preserve"> </w:t>
      </w:r>
      <w:r w:rsidR="009F5DA5" w:rsidRPr="00961941">
        <w:t xml:space="preserve">(u daljnjem tekstu:  </w:t>
      </w:r>
      <w:smartTag w:uri="urn:schemas-microsoft-com:office:smarttags" w:element="stockticker">
        <w:r w:rsidR="00516A3E" w:rsidRPr="00961941">
          <w:t>PLC</w:t>
        </w:r>
      </w:smartTag>
      <w:r w:rsidR="009F5DA5" w:rsidRPr="00961941">
        <w:t>)</w:t>
      </w:r>
      <w:r w:rsidR="00B00639" w:rsidRPr="00961941">
        <w:t>.</w:t>
      </w:r>
    </w:p>
    <w:p w14:paraId="623C2AD7" w14:textId="77777777" w:rsidR="00877A2B" w:rsidRPr="00961941" w:rsidRDefault="00877A2B" w:rsidP="00877A2B">
      <w:pPr>
        <w:rPr>
          <w:lang w:val="hr-HR"/>
        </w:rPr>
      </w:pPr>
    </w:p>
    <w:p w14:paraId="39446D92" w14:textId="77777777" w:rsidR="00644808" w:rsidRPr="00961941" w:rsidRDefault="00644808" w:rsidP="00644808">
      <w:pPr>
        <w:rPr>
          <w:lang w:val="hr-HR"/>
        </w:rPr>
      </w:pPr>
    </w:p>
    <w:p w14:paraId="112C505C" w14:textId="77777777" w:rsidR="009F5DA5" w:rsidRPr="00961941" w:rsidRDefault="001C6AC6" w:rsidP="009756A1">
      <w:pPr>
        <w:pStyle w:val="Heading2"/>
        <w:tabs>
          <w:tab w:val="clear" w:pos="851"/>
          <w:tab w:val="num" w:pos="709"/>
        </w:tabs>
        <w:jc w:val="both"/>
      </w:pPr>
      <w:r w:rsidRPr="00961941">
        <w:t>{</w:t>
      </w:r>
      <w:r w:rsidRPr="00961941">
        <w:rPr>
          <w:b/>
        </w:rPr>
        <w:t>M</w:t>
      </w:r>
      <w:r w:rsidRPr="00961941">
        <w:t>}</w:t>
      </w:r>
      <w:r w:rsidR="00644808" w:rsidRPr="00961941">
        <w:rPr>
          <w:szCs w:val="24"/>
        </w:rPr>
        <w:t>Tehnička dokumentacija</w:t>
      </w:r>
      <w:r w:rsidR="00DB143D" w:rsidRPr="00961941">
        <w:rPr>
          <w:szCs w:val="24"/>
        </w:rPr>
        <w:t xml:space="preserve"> </w:t>
      </w:r>
      <w:proofErr w:type="spellStart"/>
      <w:r w:rsidR="00DB143D" w:rsidRPr="00961941">
        <w:rPr>
          <w:szCs w:val="24"/>
        </w:rPr>
        <w:t>sprežnika</w:t>
      </w:r>
      <w:proofErr w:type="spellEnd"/>
      <w:r w:rsidR="001575B9">
        <w:rPr>
          <w:szCs w:val="24"/>
        </w:rPr>
        <w:t xml:space="preserve"> </w:t>
      </w:r>
      <w:r w:rsidR="00644808" w:rsidRPr="00961941">
        <w:rPr>
          <w:szCs w:val="24"/>
        </w:rPr>
        <w:t xml:space="preserve">mora </w:t>
      </w:r>
      <w:r w:rsidR="00DB143D" w:rsidRPr="00961941">
        <w:rPr>
          <w:szCs w:val="24"/>
        </w:rPr>
        <w:t xml:space="preserve">mu </w:t>
      </w:r>
      <w:r w:rsidR="00644808" w:rsidRPr="00961941">
        <w:rPr>
          <w:szCs w:val="24"/>
        </w:rPr>
        <w:t>biti dostavljena u elektroničkom obliku</w:t>
      </w:r>
      <w:r w:rsidR="00DB143D" w:rsidRPr="00961941">
        <w:rPr>
          <w:szCs w:val="24"/>
        </w:rPr>
        <w:t>.</w:t>
      </w:r>
    </w:p>
    <w:p w14:paraId="6C13967C" w14:textId="77777777" w:rsidR="00185306" w:rsidRPr="00961941" w:rsidRDefault="00185306" w:rsidP="0027401C">
      <w:pPr>
        <w:jc w:val="both"/>
        <w:rPr>
          <w:lang w:val="hr-HR"/>
        </w:rPr>
      </w:pPr>
    </w:p>
    <w:p w14:paraId="468114AC" w14:textId="77777777" w:rsidR="00185306" w:rsidRPr="00961941" w:rsidRDefault="00185306" w:rsidP="0027401C">
      <w:pPr>
        <w:jc w:val="both"/>
        <w:rPr>
          <w:lang w:val="hr-HR"/>
        </w:rPr>
      </w:pPr>
    </w:p>
    <w:p w14:paraId="6102ED9D" w14:textId="77777777" w:rsidR="009F5DA5" w:rsidRPr="00961941" w:rsidRDefault="009F5DA5" w:rsidP="0027401C">
      <w:pPr>
        <w:pStyle w:val="Heading1"/>
        <w:jc w:val="both"/>
        <w:rPr>
          <w:b/>
        </w:rPr>
      </w:pPr>
      <w:r w:rsidRPr="00961941">
        <w:rPr>
          <w:b/>
        </w:rPr>
        <w:t>NAMJENA</w:t>
      </w:r>
    </w:p>
    <w:p w14:paraId="486285CA" w14:textId="77777777" w:rsidR="009F5DA5" w:rsidRPr="00961941" w:rsidRDefault="009F5DA5" w:rsidP="0027401C">
      <w:pPr>
        <w:jc w:val="both"/>
        <w:rPr>
          <w:lang w:val="hr-HR"/>
        </w:rPr>
      </w:pPr>
    </w:p>
    <w:p w14:paraId="06B3637D" w14:textId="77777777" w:rsidR="00BC773A" w:rsidRPr="00961941" w:rsidRDefault="00880F0A" w:rsidP="003C25C0">
      <w:pPr>
        <w:pStyle w:val="Heading2"/>
        <w:tabs>
          <w:tab w:val="clear" w:pos="851"/>
          <w:tab w:val="num" w:pos="709"/>
        </w:tabs>
        <w:jc w:val="both"/>
      </w:pPr>
      <w:r w:rsidRPr="00961941">
        <w:t>{</w:t>
      </w:r>
      <w:r w:rsidRPr="00961941">
        <w:rPr>
          <w:b/>
        </w:rPr>
        <w:t>I</w:t>
      </w:r>
      <w:r w:rsidRPr="00961941">
        <w:t>}</w:t>
      </w:r>
      <w:r w:rsidR="00A97238" w:rsidRPr="00961941">
        <w:t xml:space="preserve">Optički </w:t>
      </w:r>
      <w:proofErr w:type="spellStart"/>
      <w:r w:rsidR="00A97238" w:rsidRPr="00961941">
        <w:t>sprežnik</w:t>
      </w:r>
      <w:proofErr w:type="spellEnd"/>
      <w:r w:rsidR="00A97238" w:rsidRPr="00961941">
        <w:t xml:space="preserve"> </w:t>
      </w:r>
      <w:r w:rsidR="009F5DA5" w:rsidRPr="00961941">
        <w:t>je pasivna opti</w:t>
      </w:r>
      <w:r w:rsidR="009F5DA5" w:rsidRPr="00961941">
        <w:rPr>
          <w:rFonts w:ascii="Times New Roman" w:hAnsi="Times New Roman"/>
        </w:rPr>
        <w:t>č</w:t>
      </w:r>
      <w:r w:rsidR="009F5DA5" w:rsidRPr="00961941">
        <w:rPr>
          <w:rFonts w:cs="Times New (W1)"/>
        </w:rPr>
        <w:t xml:space="preserve">ka komponenta koja </w:t>
      </w:r>
      <w:r w:rsidR="001051AE" w:rsidRPr="00961941">
        <w:t>ima tri i više ulaza/izlaza</w:t>
      </w:r>
      <w:r w:rsidR="00842998" w:rsidRPr="00961941">
        <w:t>,</w:t>
      </w:r>
      <w:r w:rsidR="001051AE" w:rsidRPr="00961941">
        <w:t xml:space="preserve"> koja dijeli snagu opti</w:t>
      </w:r>
      <w:r w:rsidR="001051AE" w:rsidRPr="00961941">
        <w:rPr>
          <w:rFonts w:ascii="Times New Roman" w:hAnsi="Times New Roman"/>
        </w:rPr>
        <w:t>č</w:t>
      </w:r>
      <w:r w:rsidR="001051AE" w:rsidRPr="00961941">
        <w:rPr>
          <w:rFonts w:cs="Times New (W1)"/>
        </w:rPr>
        <w:t>kog signala na unaprijed odre</w:t>
      </w:r>
      <w:r w:rsidR="001051AE" w:rsidRPr="00961941">
        <w:rPr>
          <w:rFonts w:ascii="Times New Roman" w:hAnsi="Times New Roman"/>
        </w:rPr>
        <w:t>đ</w:t>
      </w:r>
      <w:r w:rsidR="001051AE" w:rsidRPr="00961941">
        <w:rPr>
          <w:rFonts w:cs="Times New (W1)"/>
        </w:rPr>
        <w:t>eni na</w:t>
      </w:r>
      <w:r w:rsidR="001051AE" w:rsidRPr="00961941">
        <w:rPr>
          <w:rFonts w:ascii="Times New Roman" w:hAnsi="Times New Roman"/>
        </w:rPr>
        <w:t>č</w:t>
      </w:r>
      <w:r w:rsidR="001051AE" w:rsidRPr="00961941">
        <w:rPr>
          <w:rFonts w:cs="Times New (W1)"/>
        </w:rPr>
        <w:t>in bez poja</w:t>
      </w:r>
      <w:r w:rsidR="001051AE" w:rsidRPr="00961941">
        <w:rPr>
          <w:rFonts w:ascii="Times New Roman" w:hAnsi="Times New Roman"/>
        </w:rPr>
        <w:t>č</w:t>
      </w:r>
      <w:r w:rsidR="001051AE" w:rsidRPr="00961941">
        <w:rPr>
          <w:rFonts w:cs="Times New (W1)"/>
        </w:rPr>
        <w:t>anja, prespajanja ili bilo kakve ak</w:t>
      </w:r>
      <w:r w:rsidR="001051AE" w:rsidRPr="00961941">
        <w:t xml:space="preserve">tivne modulacije. </w:t>
      </w:r>
      <w:r w:rsidR="00BC773A" w:rsidRPr="00961941">
        <w:t xml:space="preserve">Omjeri sprezanja mogu biti od 1x2(2x2) do 1x64 tj. jedan ulazni signal dijeli se na 64 izlazna signala. Kao bitne </w:t>
      </w:r>
      <w:r w:rsidR="00147B70" w:rsidRPr="00961941">
        <w:t xml:space="preserve">optičke </w:t>
      </w:r>
      <w:r w:rsidR="00BC773A" w:rsidRPr="00961941">
        <w:t>značajke definiraju se širina propusnog pojasa, une</w:t>
      </w:r>
      <w:r w:rsidR="0099305C" w:rsidRPr="00961941">
        <w:t>s</w:t>
      </w:r>
      <w:r w:rsidR="00BC773A" w:rsidRPr="00961941">
        <w:t>eno gušenje, jednolikost razdiobe</w:t>
      </w:r>
      <w:r w:rsidR="00852B51" w:rsidRPr="00961941">
        <w:t>, iznos reflektiranog signala i usmjerenost.</w:t>
      </w:r>
      <w:r w:rsidR="00147B70" w:rsidRPr="00961941">
        <w:t xml:space="preserve"> </w:t>
      </w:r>
      <w:proofErr w:type="spellStart"/>
      <w:r w:rsidR="00147B70" w:rsidRPr="00961941">
        <w:t>Sprežnici</w:t>
      </w:r>
      <w:proofErr w:type="spellEnd"/>
      <w:r w:rsidR="00147B70" w:rsidRPr="00961941">
        <w:t xml:space="preserve"> mogu biti uskopojasni i širokopojasni, za rad u jednom prozoru ili dva prozora. R</w:t>
      </w:r>
      <w:r w:rsidR="00FF149B" w:rsidRPr="00961941">
        <w:t>a</w:t>
      </w:r>
      <w:r w:rsidR="00147B70" w:rsidRPr="00961941">
        <w:t xml:space="preserve">zdioba signala među </w:t>
      </w:r>
      <w:r w:rsidR="00147B70" w:rsidRPr="00961941">
        <w:lastRenderedPageBreak/>
        <w:t xml:space="preserve">izlaznim granama može biti simetrična i nesimetrična ( </w:t>
      </w:r>
      <w:proofErr w:type="spellStart"/>
      <w:r w:rsidR="00147B70" w:rsidRPr="00961941">
        <w:t>sprežnici</w:t>
      </w:r>
      <w:proofErr w:type="spellEnd"/>
      <w:r w:rsidR="00147B70" w:rsidRPr="00961941">
        <w:t xml:space="preserve"> s većim omjerom sprezanja su uglavnom u simetričnoj izvedbi). Jednolikost razdiobe je parametar koji nam kaže kolika je razlika minimalne i maksimalne snage na izlazima. Poželjno je da je razlika signala što manja i ujednačena za što veće frekventno područje (u cijelom radnom području). Ovisno o vrsti te</w:t>
      </w:r>
      <w:r w:rsidR="0099305C" w:rsidRPr="00961941">
        <w:t>h</w:t>
      </w:r>
      <w:r w:rsidR="00147B70" w:rsidRPr="00961941">
        <w:t xml:space="preserve">nologije (FBT, </w:t>
      </w:r>
      <w:smartTag w:uri="urn:schemas-microsoft-com:office:smarttags" w:element="stockticker">
        <w:r w:rsidR="00147B70" w:rsidRPr="00961941">
          <w:t>PLC</w:t>
        </w:r>
      </w:smartTag>
      <w:r w:rsidR="00147B70" w:rsidRPr="00961941">
        <w:t xml:space="preserve"> i dr.) razlikuju se i karakteristike </w:t>
      </w:r>
      <w:proofErr w:type="spellStart"/>
      <w:r w:rsidR="00147B70" w:rsidRPr="00961941">
        <w:t>sprežnika</w:t>
      </w:r>
      <w:proofErr w:type="spellEnd"/>
      <w:r w:rsidR="00147B70" w:rsidRPr="00961941">
        <w:t xml:space="preserve">. </w:t>
      </w:r>
      <w:smartTag w:uri="urn:schemas-microsoft-com:office:smarttags" w:element="stockticker">
        <w:r w:rsidR="00147B70" w:rsidRPr="00961941">
          <w:t>PLC</w:t>
        </w:r>
      </w:smartTag>
      <w:r w:rsidR="00147B70" w:rsidRPr="00961941">
        <w:t xml:space="preserve"> </w:t>
      </w:r>
      <w:r w:rsidR="0014530A" w:rsidRPr="00961941">
        <w:t>(</w:t>
      </w:r>
      <w:smartTag w:uri="urn:schemas-microsoft-com:office:smarttags" w:element="stockticker">
        <w:r w:rsidR="0014530A" w:rsidRPr="00961941">
          <w:t>PLC</w:t>
        </w:r>
      </w:smartTag>
      <w:r w:rsidR="0014530A" w:rsidRPr="00961941">
        <w:t xml:space="preserve"> – </w:t>
      </w:r>
      <w:proofErr w:type="spellStart"/>
      <w:r w:rsidR="0014530A" w:rsidRPr="00961941">
        <w:t>Planar</w:t>
      </w:r>
      <w:proofErr w:type="spellEnd"/>
      <w:r w:rsidR="0014530A" w:rsidRPr="00961941">
        <w:t xml:space="preserve"> </w:t>
      </w:r>
      <w:proofErr w:type="spellStart"/>
      <w:r w:rsidR="0014530A" w:rsidRPr="00961941">
        <w:t>Lightway</w:t>
      </w:r>
      <w:proofErr w:type="spellEnd"/>
      <w:r w:rsidR="0014530A" w:rsidRPr="00961941">
        <w:t xml:space="preserve"> </w:t>
      </w:r>
      <w:proofErr w:type="spellStart"/>
      <w:r w:rsidR="0014530A" w:rsidRPr="00961941">
        <w:t>Coupler</w:t>
      </w:r>
      <w:proofErr w:type="spellEnd"/>
      <w:r w:rsidR="0014530A" w:rsidRPr="00961941">
        <w:t xml:space="preserve">) </w:t>
      </w:r>
      <w:proofErr w:type="spellStart"/>
      <w:r w:rsidR="00147B70" w:rsidRPr="00961941">
        <w:t>sprežnici</w:t>
      </w:r>
      <w:proofErr w:type="spellEnd"/>
      <w:r w:rsidR="00147B70" w:rsidRPr="00961941">
        <w:t xml:space="preserve"> imaju širokopojasnu karakteristiku, male dimenzije i moguće je postizati velike omjere dijeljenja ( 1:64).</w:t>
      </w:r>
    </w:p>
    <w:p w14:paraId="2AFC625E" w14:textId="77777777" w:rsidR="00FF149B" w:rsidRPr="00961941" w:rsidRDefault="00FF149B" w:rsidP="0027401C">
      <w:pPr>
        <w:jc w:val="both"/>
        <w:rPr>
          <w:lang w:val="hr-HR"/>
        </w:rPr>
      </w:pPr>
    </w:p>
    <w:p w14:paraId="2F566D37" w14:textId="77777777" w:rsidR="00FD0B2C" w:rsidRPr="00961941" w:rsidRDefault="00880F0A" w:rsidP="003C25C0">
      <w:pPr>
        <w:pStyle w:val="Heading2"/>
        <w:tabs>
          <w:tab w:val="clear" w:pos="851"/>
          <w:tab w:val="num" w:pos="709"/>
        </w:tabs>
        <w:jc w:val="both"/>
      </w:pPr>
      <w:r w:rsidRPr="00961941">
        <w:t>{</w:t>
      </w:r>
      <w:r w:rsidRPr="00961941">
        <w:rPr>
          <w:b/>
        </w:rPr>
        <w:t>I</w:t>
      </w:r>
      <w:r w:rsidRPr="00961941">
        <w:t>}</w:t>
      </w:r>
      <w:r w:rsidR="00147B70" w:rsidRPr="00961941">
        <w:t xml:space="preserve">Optički </w:t>
      </w:r>
      <w:proofErr w:type="spellStart"/>
      <w:r w:rsidR="00147B70" w:rsidRPr="00961941">
        <w:t>sprežnik</w:t>
      </w:r>
      <w:proofErr w:type="spellEnd"/>
      <w:r w:rsidR="00147B70" w:rsidRPr="00961941">
        <w:t xml:space="preserve"> upotrebljava se u izgradnji pristupnih optičkih mreža. Pred</w:t>
      </w:r>
      <w:r w:rsidR="0014530A" w:rsidRPr="00961941">
        <w:t xml:space="preserve">stavlja osnovni element u pasivnoj optičkoj mreži (PON – </w:t>
      </w:r>
      <w:proofErr w:type="spellStart"/>
      <w:r w:rsidR="0014530A" w:rsidRPr="00961941">
        <w:t>passive</w:t>
      </w:r>
      <w:proofErr w:type="spellEnd"/>
      <w:r w:rsidR="0014530A" w:rsidRPr="00961941">
        <w:t xml:space="preserve"> </w:t>
      </w:r>
      <w:proofErr w:type="spellStart"/>
      <w:r w:rsidR="0014530A" w:rsidRPr="00961941">
        <w:t>optical</w:t>
      </w:r>
      <w:proofErr w:type="spellEnd"/>
      <w:r w:rsidR="0014530A" w:rsidRPr="00961941">
        <w:t xml:space="preserve"> network) koji omogućava distribuciju signala iz jednog izvora do više korisnika i obrnuto. PON mreža ima topologiju </w:t>
      </w:r>
      <w:r w:rsidR="0014530A" w:rsidRPr="00961941">
        <w:rPr>
          <w:i/>
        </w:rPr>
        <w:t>točka-više točaka</w:t>
      </w:r>
      <w:r w:rsidR="0014530A" w:rsidRPr="00961941">
        <w:t xml:space="preserve"> i može biti u više različitih tehnologija (BPON, EPON, GPON). GPON omogu</w:t>
      </w:r>
      <w:r w:rsidR="0014530A" w:rsidRPr="00961941">
        <w:rPr>
          <w:rFonts w:ascii="Times New Roman" w:hAnsi="Times New Roman"/>
        </w:rPr>
        <w:t>ć</w:t>
      </w:r>
      <w:r w:rsidR="0014530A" w:rsidRPr="00961941">
        <w:rPr>
          <w:rFonts w:cs="Times New (W1)"/>
        </w:rPr>
        <w:t>ava povezivanje najve</w:t>
      </w:r>
      <w:r w:rsidR="0014530A" w:rsidRPr="00961941">
        <w:rPr>
          <w:rFonts w:ascii="Times New Roman" w:hAnsi="Times New Roman"/>
        </w:rPr>
        <w:t>ć</w:t>
      </w:r>
      <w:r w:rsidR="0014530A" w:rsidRPr="00961941">
        <w:rPr>
          <w:rFonts w:cs="Times New (W1)"/>
        </w:rPr>
        <w:t xml:space="preserve">eg broja korisnika na jednoj grani </w:t>
      </w:r>
      <w:proofErr w:type="spellStart"/>
      <w:r w:rsidR="0014530A" w:rsidRPr="00961941">
        <w:rPr>
          <w:rFonts w:cs="Times New (W1)"/>
        </w:rPr>
        <w:t>max</w:t>
      </w:r>
      <w:proofErr w:type="spellEnd"/>
      <w:r w:rsidR="0014530A" w:rsidRPr="00961941">
        <w:rPr>
          <w:rFonts w:cs="Times New (W1)"/>
        </w:rPr>
        <w:t>. 64 i najve</w:t>
      </w:r>
      <w:r w:rsidR="0014530A" w:rsidRPr="00961941">
        <w:rPr>
          <w:rFonts w:ascii="Times New Roman" w:hAnsi="Times New Roman"/>
        </w:rPr>
        <w:t>ć</w:t>
      </w:r>
      <w:r w:rsidR="0014530A" w:rsidRPr="00961941">
        <w:rPr>
          <w:rFonts w:cs="Times New (W1)"/>
        </w:rPr>
        <w:t>i prijenosni kapacitet. Promet se odvija u dva smjera po tri valne duljine. Odlazni promet od centrale do korisnika ide po valnoj duljini</w:t>
      </w:r>
      <w:r w:rsidR="0014530A" w:rsidRPr="00961941">
        <w:t xml:space="preserve"> 1490 nm (IP promet) i 1550 nm za analogni video signal</w:t>
      </w:r>
      <w:r w:rsidR="002C1299" w:rsidRPr="00961941">
        <w:t xml:space="preserve"> (do svakog korisnika na jednoj grani ide isti promet, a koji se na terminalnoj opremi izdvaja za određ</w:t>
      </w:r>
      <w:r w:rsidR="00620026" w:rsidRPr="00961941">
        <w:t>e</w:t>
      </w:r>
      <w:r w:rsidR="002C1299" w:rsidRPr="00961941">
        <w:t>nog korisnika)</w:t>
      </w:r>
      <w:r w:rsidR="0014530A" w:rsidRPr="00961941">
        <w:t>. Dolazni promet od korisnika prema ce</w:t>
      </w:r>
      <w:r w:rsidR="00620026" w:rsidRPr="00961941">
        <w:t>n</w:t>
      </w:r>
      <w:r w:rsidR="0014530A" w:rsidRPr="00961941">
        <w:t xml:space="preserve">trali ide po valnoj duljini 1310 </w:t>
      </w:r>
      <w:r w:rsidR="002C1299" w:rsidRPr="00961941">
        <w:t xml:space="preserve">nm </w:t>
      </w:r>
      <w:r w:rsidR="00FF149B" w:rsidRPr="00961941">
        <w:t>od više korisnika</w:t>
      </w:r>
      <w:r w:rsidR="002C1299" w:rsidRPr="00961941">
        <w:t xml:space="preserve"> istovremeno</w:t>
      </w:r>
      <w:r w:rsidR="00FF149B" w:rsidRPr="00961941">
        <w:t xml:space="preserve"> korištenjem TDMA tehnologije. Upotrebom </w:t>
      </w:r>
      <w:proofErr w:type="spellStart"/>
      <w:r w:rsidR="00FF149B" w:rsidRPr="00961941">
        <w:t>sprežnika</w:t>
      </w:r>
      <w:proofErr w:type="spellEnd"/>
      <w:r w:rsidR="00FF149B" w:rsidRPr="00961941">
        <w:t xml:space="preserve"> u mreži omogućeno je značajno smanjenje aktivne opreme na strani centrale ( jedan izvor za 64 korisnika) i pasivnog dijela mreža koji se odnosi na terminalnu opremu na strani centrale</w:t>
      </w:r>
      <w:r w:rsidR="002C1299" w:rsidRPr="00961941">
        <w:t xml:space="preserve"> (ODF),</w:t>
      </w:r>
      <w:r w:rsidR="00FF149B" w:rsidRPr="00961941">
        <w:t xml:space="preserve"> kabele i spojnu opremu u području između centrale i </w:t>
      </w:r>
      <w:proofErr w:type="spellStart"/>
      <w:r w:rsidR="00FF149B" w:rsidRPr="00961941">
        <w:t>sprežnika</w:t>
      </w:r>
      <w:proofErr w:type="spellEnd"/>
      <w:r w:rsidR="00FF149B" w:rsidRPr="00961941">
        <w:t xml:space="preserve">. Ovisno o položaju </w:t>
      </w:r>
      <w:proofErr w:type="spellStart"/>
      <w:r w:rsidR="00FF149B" w:rsidRPr="00961941">
        <w:t>spre</w:t>
      </w:r>
      <w:r w:rsidR="0027401C" w:rsidRPr="00961941">
        <w:t>žnika</w:t>
      </w:r>
      <w:proofErr w:type="spellEnd"/>
      <w:r w:rsidR="0027401C" w:rsidRPr="00961941">
        <w:t xml:space="preserve"> u mreži potrebna količina </w:t>
      </w:r>
      <w:r w:rsidR="00FF149B" w:rsidRPr="00961941">
        <w:rPr>
          <w:fitText w:val="3011" w:id="-1215104768"/>
        </w:rPr>
        <w:t>mre</w:t>
      </w:r>
      <w:r w:rsidR="002C1299" w:rsidRPr="00961941">
        <w:rPr>
          <w:fitText w:val="3011" w:id="-1215104768"/>
        </w:rPr>
        <w:t>ž</w:t>
      </w:r>
      <w:r w:rsidR="0027401C" w:rsidRPr="00961941">
        <w:rPr>
          <w:fitText w:val="3011" w:id="-1215104768"/>
        </w:rPr>
        <w:t>e</w:t>
      </w:r>
      <w:r w:rsidR="00F11591" w:rsidRPr="00961941">
        <w:rPr>
          <w:fitText w:val="3011" w:id="-1215104768"/>
        </w:rPr>
        <w:t xml:space="preserve"> može </w:t>
      </w:r>
      <w:r w:rsidR="002C1299" w:rsidRPr="00961941">
        <w:rPr>
          <w:fitText w:val="3011" w:id="-1215104768"/>
        </w:rPr>
        <w:t>biti</w:t>
      </w:r>
      <w:r w:rsidR="00F11591" w:rsidRPr="00961941">
        <w:rPr>
          <w:fitText w:val="3011" w:id="-1215104768"/>
        </w:rPr>
        <w:t xml:space="preserve"> manja ili </w:t>
      </w:r>
      <w:r w:rsidR="00FF149B" w:rsidRPr="00961941">
        <w:rPr>
          <w:fitText w:val="3011" w:id="-1215104768"/>
        </w:rPr>
        <w:t>veća</w:t>
      </w:r>
      <w:r w:rsidR="00FF149B" w:rsidRPr="00961941">
        <w:rPr>
          <w:spacing w:val="2"/>
          <w:fitText w:val="3011" w:id="-1215104768"/>
        </w:rPr>
        <w:t>.</w:t>
      </w:r>
    </w:p>
    <w:p w14:paraId="21A8B23F" w14:textId="77777777" w:rsidR="002E58DF" w:rsidRPr="00961941" w:rsidRDefault="002E58DF" w:rsidP="002E58DF">
      <w:pPr>
        <w:rPr>
          <w:lang w:val="hr-HR"/>
        </w:rPr>
      </w:pPr>
    </w:p>
    <w:p w14:paraId="5FCAD781" w14:textId="77777777" w:rsidR="002E58DF" w:rsidRPr="00961941" w:rsidRDefault="002E58DF" w:rsidP="002E58DF">
      <w:pPr>
        <w:rPr>
          <w:lang w:val="hr-HR"/>
        </w:rPr>
      </w:pPr>
    </w:p>
    <w:p w14:paraId="03BA47AF" w14:textId="77777777" w:rsidR="002E58DF" w:rsidRPr="00961941" w:rsidRDefault="002E58DF" w:rsidP="002E58DF">
      <w:pPr>
        <w:rPr>
          <w:lang w:val="hr-HR"/>
        </w:rPr>
      </w:pPr>
    </w:p>
    <w:p w14:paraId="1C5CB38F" w14:textId="77777777" w:rsidR="009F5DA5" w:rsidRPr="00961941" w:rsidRDefault="009F5DA5" w:rsidP="00FD0B2C">
      <w:pPr>
        <w:pStyle w:val="Heading1"/>
        <w:rPr>
          <w:b/>
        </w:rPr>
      </w:pPr>
      <w:r w:rsidRPr="00961941">
        <w:rPr>
          <w:b/>
        </w:rPr>
        <w:t>MEHANIČKE ZNAČAJKE</w:t>
      </w:r>
    </w:p>
    <w:p w14:paraId="2B612428" w14:textId="77777777" w:rsidR="009F5DA5" w:rsidRPr="00961941" w:rsidRDefault="009F5DA5" w:rsidP="00136766">
      <w:pPr>
        <w:rPr>
          <w:lang w:val="hr-HR"/>
        </w:rPr>
      </w:pPr>
    </w:p>
    <w:p w14:paraId="48B4D6A4" w14:textId="77777777" w:rsidR="009F5DA5" w:rsidRPr="00961941" w:rsidRDefault="009F5DA5" w:rsidP="00136766">
      <w:pPr>
        <w:rPr>
          <w:lang w:val="hr-HR"/>
        </w:rPr>
      </w:pPr>
    </w:p>
    <w:p w14:paraId="5C9B2FB0" w14:textId="77777777" w:rsidR="009F5DA5" w:rsidRPr="00961941" w:rsidRDefault="00880F0A" w:rsidP="003C25C0">
      <w:pPr>
        <w:pStyle w:val="Heading2"/>
        <w:tabs>
          <w:tab w:val="clear" w:pos="851"/>
          <w:tab w:val="num" w:pos="709"/>
        </w:tabs>
        <w:jc w:val="both"/>
      </w:pPr>
      <w:r w:rsidRPr="00961941">
        <w:t>{</w:t>
      </w:r>
      <w:r w:rsidRPr="00961941">
        <w:rPr>
          <w:b/>
        </w:rPr>
        <w:t>M</w:t>
      </w:r>
      <w:r w:rsidRPr="00961941">
        <w:t>}</w:t>
      </w:r>
      <w:r w:rsidR="003B44AC" w:rsidRPr="00961941">
        <w:t>PLC</w:t>
      </w:r>
      <w:r w:rsidR="009F5DA5" w:rsidRPr="00961941">
        <w:t xml:space="preserve"> pasivna opti</w:t>
      </w:r>
      <w:r w:rsidR="009F5DA5" w:rsidRPr="00961941">
        <w:rPr>
          <w:rFonts w:ascii="Times New Roman" w:hAnsi="Times New Roman"/>
        </w:rPr>
        <w:t>č</w:t>
      </w:r>
      <w:r w:rsidR="009F5DA5" w:rsidRPr="00961941">
        <w:rPr>
          <w:rFonts w:cs="Times New (W1)"/>
        </w:rPr>
        <w:t>ka komponenta mora imati adekvatnu otpornost na odre</w:t>
      </w:r>
      <w:r w:rsidR="009F5DA5" w:rsidRPr="00961941">
        <w:rPr>
          <w:rFonts w:ascii="Times New Roman" w:hAnsi="Times New Roman"/>
        </w:rPr>
        <w:t>đ</w:t>
      </w:r>
      <w:r w:rsidR="009F5DA5" w:rsidRPr="00961941">
        <w:rPr>
          <w:rFonts w:cs="Times New (W1)"/>
        </w:rPr>
        <w:t>ene mehani</w:t>
      </w:r>
      <w:r w:rsidR="009F5DA5" w:rsidRPr="00961941">
        <w:rPr>
          <w:rFonts w:ascii="Times New Roman" w:hAnsi="Times New Roman"/>
        </w:rPr>
        <w:t>č</w:t>
      </w:r>
      <w:r w:rsidR="009F5DA5" w:rsidRPr="00961941">
        <w:rPr>
          <w:rFonts w:cs="Times New (W1)"/>
        </w:rPr>
        <w:t xml:space="preserve">ke utjecaje </w:t>
      </w:r>
      <w:r w:rsidR="009F5DA5" w:rsidRPr="00961941">
        <w:rPr>
          <w:rFonts w:ascii="Times New Roman" w:hAnsi="Times New Roman"/>
        </w:rPr>
        <w:t>č</w:t>
      </w:r>
      <w:r w:rsidR="009F5DA5" w:rsidRPr="00961941">
        <w:rPr>
          <w:rFonts w:cs="Times New (W1)"/>
        </w:rPr>
        <w:t>ije djelovanje</w:t>
      </w:r>
      <w:r w:rsidR="009F5DA5" w:rsidRPr="00961941">
        <w:t xml:space="preserve"> u odre</w:t>
      </w:r>
      <w:r w:rsidR="009F5DA5" w:rsidRPr="00961941">
        <w:rPr>
          <w:rFonts w:ascii="Times New Roman" w:hAnsi="Times New Roman"/>
        </w:rPr>
        <w:t>đ</w:t>
      </w:r>
      <w:r w:rsidR="009F5DA5" w:rsidRPr="00961941">
        <w:rPr>
          <w:rFonts w:cs="Times New (W1)"/>
        </w:rPr>
        <w:t>enim definiranim granicama ne smije imati nikakvog utjecaja na vrijednost parametara definiranih u to</w:t>
      </w:r>
      <w:r w:rsidR="009F5DA5" w:rsidRPr="00961941">
        <w:rPr>
          <w:rFonts w:ascii="Times New Roman" w:hAnsi="Times New Roman"/>
        </w:rPr>
        <w:t>č</w:t>
      </w:r>
      <w:r w:rsidR="009F5DA5" w:rsidRPr="00961941">
        <w:rPr>
          <w:rFonts w:cs="Times New (W1)"/>
        </w:rPr>
        <w:t>ki 5 ovih tehni</w:t>
      </w:r>
      <w:r w:rsidR="009F5DA5" w:rsidRPr="00961941">
        <w:rPr>
          <w:rFonts w:ascii="Times New Roman" w:hAnsi="Times New Roman"/>
        </w:rPr>
        <w:t>č</w:t>
      </w:r>
      <w:r w:rsidR="009F5DA5" w:rsidRPr="00961941">
        <w:rPr>
          <w:rFonts w:cs="Times New (W1)"/>
        </w:rPr>
        <w:t>kih uvjeta.</w:t>
      </w:r>
    </w:p>
    <w:p w14:paraId="4881522C" w14:textId="77777777" w:rsidR="002C1299" w:rsidRPr="00961941" w:rsidRDefault="002C1299" w:rsidP="00382C91">
      <w:pPr>
        <w:jc w:val="both"/>
        <w:rPr>
          <w:lang w:val="hr-HR"/>
        </w:rPr>
      </w:pPr>
    </w:p>
    <w:p w14:paraId="243A36A8" w14:textId="77777777" w:rsidR="009F5DA5" w:rsidRPr="00961941" w:rsidRDefault="001E0015" w:rsidP="003C25C0">
      <w:pPr>
        <w:pStyle w:val="Heading2"/>
        <w:tabs>
          <w:tab w:val="clear" w:pos="851"/>
          <w:tab w:val="num" w:pos="709"/>
        </w:tabs>
        <w:jc w:val="both"/>
        <w:rPr>
          <w:rFonts w:cs="Times New (W1)"/>
        </w:rPr>
      </w:pPr>
      <w:r w:rsidRPr="00961941">
        <w:t>{</w:t>
      </w:r>
      <w:r w:rsidRPr="00961941">
        <w:rPr>
          <w:b/>
        </w:rPr>
        <w:t>M</w:t>
      </w:r>
      <w:r w:rsidRPr="00961941">
        <w:t>}</w:t>
      </w:r>
      <w:r w:rsidR="009F5DA5" w:rsidRPr="00961941">
        <w:t xml:space="preserve"> </w:t>
      </w:r>
      <w:smartTag w:uri="urn:schemas-microsoft-com:office:smarttags" w:element="stockticker">
        <w:r w:rsidR="001F2DD4" w:rsidRPr="00961941">
          <w:t>PLC</w:t>
        </w:r>
      </w:smartTag>
      <w:r w:rsidR="009F5DA5" w:rsidRPr="00961941">
        <w:t xml:space="preserve"> komponenta mora izdržati odre</w:t>
      </w:r>
      <w:r w:rsidR="009F5DA5" w:rsidRPr="00961941">
        <w:rPr>
          <w:rFonts w:ascii="Times New Roman" w:hAnsi="Times New Roman"/>
        </w:rPr>
        <w:t>đ</w:t>
      </w:r>
      <w:r w:rsidR="009F5DA5" w:rsidRPr="00961941">
        <w:rPr>
          <w:rFonts w:cs="Times New (W1)"/>
        </w:rPr>
        <w:t xml:space="preserve">ena naprezanje na istezanje. Maksimalna dozvoljena sila je ovisna o tome da li </w:t>
      </w:r>
      <w:r w:rsidR="009F5DA5" w:rsidRPr="00961941">
        <w:t xml:space="preserve">se </w:t>
      </w:r>
      <w:smartTag w:uri="urn:schemas-microsoft-com:office:smarttags" w:element="stockticker">
        <w:r w:rsidR="00405E87" w:rsidRPr="00961941">
          <w:t>PLC</w:t>
        </w:r>
      </w:smartTag>
      <w:r w:rsidR="009F5DA5" w:rsidRPr="00961941">
        <w:t xml:space="preserve"> komponenta isporu</w:t>
      </w:r>
      <w:r w:rsidR="009F5DA5" w:rsidRPr="00961941">
        <w:rPr>
          <w:rFonts w:ascii="Times New Roman" w:hAnsi="Times New Roman"/>
        </w:rPr>
        <w:t>č</w:t>
      </w:r>
      <w:r w:rsidR="009F5DA5" w:rsidRPr="00961941">
        <w:rPr>
          <w:rFonts w:cs="Times New (W1)"/>
        </w:rPr>
        <w:t xml:space="preserve">uje s vlaknom (s primarnom, odnosno sekundarnom zaštitom) ili s </w:t>
      </w:r>
      <w:proofErr w:type="spellStart"/>
      <w:r w:rsidR="009F5DA5" w:rsidRPr="00961941">
        <w:rPr>
          <w:rFonts w:cs="Times New (W1)"/>
        </w:rPr>
        <w:t>jednonitnim</w:t>
      </w:r>
      <w:proofErr w:type="spellEnd"/>
      <w:r w:rsidR="009F5DA5" w:rsidRPr="00961941">
        <w:rPr>
          <w:rFonts w:cs="Times New (W1)"/>
        </w:rPr>
        <w:t xml:space="preserve"> kabelom koji služ</w:t>
      </w:r>
      <w:r w:rsidR="00405E87" w:rsidRPr="00961941">
        <w:t>i</w:t>
      </w:r>
      <w:r w:rsidR="009F5DA5" w:rsidRPr="00961941">
        <w:t xml:space="preserve"> za povezivanje iste. U prvom slu</w:t>
      </w:r>
      <w:r w:rsidR="009F5DA5" w:rsidRPr="00961941">
        <w:rPr>
          <w:rFonts w:ascii="Times New Roman" w:hAnsi="Times New Roman"/>
        </w:rPr>
        <w:t>č</w:t>
      </w:r>
      <w:r w:rsidR="009F5DA5" w:rsidRPr="00961941">
        <w:rPr>
          <w:rFonts w:cs="Times New (W1)"/>
        </w:rPr>
        <w:t xml:space="preserve">aju </w:t>
      </w:r>
      <w:proofErr w:type="spellStart"/>
      <w:r w:rsidR="009F5DA5" w:rsidRPr="00961941">
        <w:rPr>
          <w:rFonts w:cs="Times New (W1)"/>
        </w:rPr>
        <w:t>max</w:t>
      </w:r>
      <w:proofErr w:type="spellEnd"/>
      <w:r w:rsidR="009F5DA5" w:rsidRPr="00961941">
        <w:rPr>
          <w:rFonts w:cs="Times New (W1)"/>
        </w:rPr>
        <w:t>.  sila je 5 ±0,5 N, a u drugom slu</w:t>
      </w:r>
      <w:r w:rsidR="009F5DA5" w:rsidRPr="00961941">
        <w:rPr>
          <w:rFonts w:ascii="Times New Roman" w:hAnsi="Times New Roman"/>
        </w:rPr>
        <w:t>č</w:t>
      </w:r>
      <w:r w:rsidR="00077F6E" w:rsidRPr="00961941">
        <w:rPr>
          <w:rFonts w:cs="Times New (W1)"/>
        </w:rPr>
        <w:t>aju sila je 50  ± 5 N.</w:t>
      </w:r>
    </w:p>
    <w:p w14:paraId="684F883F" w14:textId="77777777" w:rsidR="00077F6E" w:rsidRPr="00961941" w:rsidRDefault="00077F6E" w:rsidP="00382C91">
      <w:pPr>
        <w:jc w:val="both"/>
        <w:rPr>
          <w:lang w:val="hr-HR"/>
        </w:rPr>
      </w:pPr>
    </w:p>
    <w:p w14:paraId="4E2AC216" w14:textId="77777777" w:rsidR="009F5DA5" w:rsidRPr="00961941" w:rsidRDefault="009F5DA5" w:rsidP="00382C91">
      <w:pPr>
        <w:ind w:left="851"/>
        <w:jc w:val="both"/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>Detaljni uvjeti testiranja i sam postupak ispitivanja trebaju biti u skladu sa IEC</w:t>
      </w:r>
      <w:bookmarkStart w:id="0" w:name="OLE_LINK1"/>
      <w:bookmarkStart w:id="1" w:name="OLE_LINK2"/>
      <w:r w:rsidR="006265E4" w:rsidRPr="00961941">
        <w:rPr>
          <w:sz w:val="24"/>
          <w:szCs w:val="24"/>
          <w:lang w:val="hr-HR"/>
        </w:rPr>
        <w:t xml:space="preserve"> </w:t>
      </w:r>
      <w:r w:rsidRPr="00961941">
        <w:rPr>
          <w:sz w:val="24"/>
          <w:szCs w:val="24"/>
          <w:lang w:val="hr-HR"/>
        </w:rPr>
        <w:t>61300-2-</w:t>
      </w:r>
      <w:r w:rsidR="00405E87" w:rsidRPr="00961941">
        <w:rPr>
          <w:sz w:val="24"/>
          <w:szCs w:val="24"/>
          <w:lang w:val="hr-HR"/>
        </w:rPr>
        <w:t>4</w:t>
      </w:r>
      <w:bookmarkEnd w:id="0"/>
      <w:bookmarkEnd w:id="1"/>
      <w:r w:rsidR="00405E87" w:rsidRPr="00961941">
        <w:rPr>
          <w:sz w:val="24"/>
          <w:szCs w:val="24"/>
          <w:lang w:val="hr-HR"/>
        </w:rPr>
        <w:t xml:space="preserve"> </w:t>
      </w:r>
      <w:r w:rsidR="00DE1E5A" w:rsidRPr="00961941">
        <w:rPr>
          <w:sz w:val="24"/>
          <w:szCs w:val="24"/>
          <w:lang w:val="hr-HR"/>
        </w:rPr>
        <w:t>[2].</w:t>
      </w:r>
    </w:p>
    <w:p w14:paraId="5964A0BB" w14:textId="77777777" w:rsidR="006265E4" w:rsidRPr="00961941" w:rsidRDefault="006265E4" w:rsidP="00382C91">
      <w:pPr>
        <w:jc w:val="both"/>
        <w:rPr>
          <w:lang w:val="hr-HR"/>
        </w:rPr>
      </w:pPr>
    </w:p>
    <w:p w14:paraId="0476FE81" w14:textId="77777777" w:rsidR="009F5DA5" w:rsidRPr="00961941" w:rsidRDefault="001E0015" w:rsidP="003C25C0">
      <w:pPr>
        <w:pStyle w:val="Heading2"/>
        <w:tabs>
          <w:tab w:val="clear" w:pos="851"/>
          <w:tab w:val="num" w:pos="709"/>
        </w:tabs>
        <w:jc w:val="both"/>
        <w:rPr>
          <w:rFonts w:cs="Times New (W1)"/>
        </w:rPr>
      </w:pPr>
      <w:r w:rsidRPr="00961941">
        <w:t>{</w:t>
      </w:r>
      <w:r w:rsidRPr="00961941">
        <w:rPr>
          <w:b/>
        </w:rPr>
        <w:t>M</w:t>
      </w:r>
      <w:r w:rsidRPr="00961941">
        <w:t xml:space="preserve">} </w:t>
      </w:r>
      <w:r w:rsidR="001F2DD4" w:rsidRPr="00961941">
        <w:t>PLC</w:t>
      </w:r>
      <w:r w:rsidR="009F5DA5" w:rsidRPr="00961941">
        <w:t xml:space="preserve"> komponenta mora imati odre</w:t>
      </w:r>
      <w:r w:rsidR="009F5DA5" w:rsidRPr="00961941">
        <w:rPr>
          <w:rFonts w:ascii="Times New Roman" w:hAnsi="Times New Roman"/>
        </w:rPr>
        <w:t>đ</w:t>
      </w:r>
      <w:r w:rsidR="00077F6E" w:rsidRPr="00961941">
        <w:rPr>
          <w:rFonts w:cs="Times New (W1)"/>
        </w:rPr>
        <w:t>enu otpornost na vibracije.</w:t>
      </w:r>
    </w:p>
    <w:p w14:paraId="640E42CC" w14:textId="77777777" w:rsidR="00077F6E" w:rsidRPr="00961941" w:rsidRDefault="00077F6E" w:rsidP="00382C91">
      <w:pPr>
        <w:jc w:val="both"/>
        <w:rPr>
          <w:lang w:val="hr-HR"/>
        </w:rPr>
      </w:pPr>
    </w:p>
    <w:p w14:paraId="12258532" w14:textId="77777777" w:rsidR="009F5DA5" w:rsidRPr="00961941" w:rsidRDefault="009F5DA5" w:rsidP="00382C91">
      <w:pPr>
        <w:ind w:left="851"/>
        <w:jc w:val="both"/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>Uvjeti pri testiranju i sam postupak ispitivanja treba biti u skladu sa IEC  61300-2-</w:t>
      </w:r>
      <w:r w:rsidR="00DE1E5A" w:rsidRPr="00961941">
        <w:rPr>
          <w:sz w:val="24"/>
          <w:szCs w:val="24"/>
          <w:lang w:val="hr-HR"/>
        </w:rPr>
        <w:t>1 [2].</w:t>
      </w:r>
    </w:p>
    <w:p w14:paraId="44739705" w14:textId="77777777" w:rsidR="006265E4" w:rsidRPr="00961941" w:rsidRDefault="006265E4" w:rsidP="00382C91">
      <w:pPr>
        <w:jc w:val="both"/>
        <w:rPr>
          <w:lang w:val="hr-HR"/>
        </w:rPr>
      </w:pPr>
    </w:p>
    <w:p w14:paraId="21757C13" w14:textId="77777777" w:rsidR="009F5DA5" w:rsidRPr="00961941" w:rsidRDefault="001E0015" w:rsidP="003C25C0">
      <w:pPr>
        <w:pStyle w:val="Heading2"/>
        <w:tabs>
          <w:tab w:val="clear" w:pos="851"/>
          <w:tab w:val="num" w:pos="709"/>
        </w:tabs>
        <w:jc w:val="both"/>
      </w:pPr>
      <w:r w:rsidRPr="00961941">
        <w:lastRenderedPageBreak/>
        <w:t>{</w:t>
      </w:r>
      <w:r w:rsidRPr="00961941">
        <w:rPr>
          <w:b/>
        </w:rPr>
        <w:t>M</w:t>
      </w:r>
      <w:r w:rsidRPr="00961941">
        <w:t xml:space="preserve">} </w:t>
      </w:r>
      <w:smartTag w:uri="urn:schemas-microsoft-com:office:smarttags" w:element="stockticker">
        <w:r w:rsidR="001F2DD4" w:rsidRPr="00961941">
          <w:t>PLC</w:t>
        </w:r>
      </w:smartTag>
      <w:r w:rsidR="009F5DA5" w:rsidRPr="00961941">
        <w:t xml:space="preserve"> komponenta mora imati odre</w:t>
      </w:r>
      <w:r w:rsidR="009F5DA5" w:rsidRPr="00961941">
        <w:rPr>
          <w:rFonts w:ascii="Times New Roman" w:hAnsi="Times New Roman"/>
        </w:rPr>
        <w:t>đ</w:t>
      </w:r>
      <w:r w:rsidR="009F5DA5" w:rsidRPr="00961941">
        <w:rPr>
          <w:rFonts w:cs="Times New (W1)"/>
        </w:rPr>
        <w:t xml:space="preserve">enu otpornost na udar pri padu na </w:t>
      </w:r>
      <w:r w:rsidR="009F5DA5" w:rsidRPr="00961941">
        <w:rPr>
          <w:rFonts w:ascii="Times New Roman" w:hAnsi="Times New Roman"/>
        </w:rPr>
        <w:t>č</w:t>
      </w:r>
      <w:r w:rsidR="009F5DA5" w:rsidRPr="00961941">
        <w:rPr>
          <w:rFonts w:cs="Times New (W1)"/>
        </w:rPr>
        <w:t>vrstu</w:t>
      </w:r>
      <w:r w:rsidR="00077F6E" w:rsidRPr="00961941">
        <w:rPr>
          <w:rFonts w:cs="Times New (W1)"/>
        </w:rPr>
        <w:t xml:space="preserve"> </w:t>
      </w:r>
      <w:r w:rsidR="00077F6E" w:rsidRPr="00961941">
        <w:t>površinu.</w:t>
      </w:r>
    </w:p>
    <w:p w14:paraId="3325B5E7" w14:textId="77777777" w:rsidR="00077F6E" w:rsidRPr="00961941" w:rsidRDefault="00077F6E" w:rsidP="00382C91">
      <w:pPr>
        <w:jc w:val="both"/>
        <w:rPr>
          <w:lang w:val="hr-HR"/>
        </w:rPr>
      </w:pPr>
    </w:p>
    <w:p w14:paraId="48C01FF5" w14:textId="77777777" w:rsidR="009F5DA5" w:rsidRPr="00961941" w:rsidRDefault="009F5DA5" w:rsidP="00382C91">
      <w:pPr>
        <w:ind w:left="851"/>
        <w:jc w:val="both"/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>Uvjeti pri testiranju i sam postupak ispitivanja  treba biti u skladu sa  IEC  61300-2-12</w:t>
      </w:r>
      <w:r w:rsidR="00DE1E5A" w:rsidRPr="00961941">
        <w:rPr>
          <w:sz w:val="24"/>
          <w:szCs w:val="24"/>
          <w:lang w:val="hr-HR"/>
        </w:rPr>
        <w:t xml:space="preserve"> [2].</w:t>
      </w:r>
    </w:p>
    <w:p w14:paraId="0D96C6F5" w14:textId="77777777" w:rsidR="006265E4" w:rsidRPr="00961941" w:rsidRDefault="006265E4" w:rsidP="00382C91">
      <w:pPr>
        <w:jc w:val="both"/>
        <w:rPr>
          <w:lang w:val="hr-HR"/>
        </w:rPr>
      </w:pPr>
    </w:p>
    <w:p w14:paraId="6C5B6D62" w14:textId="77777777" w:rsidR="009F5DA5" w:rsidRPr="00961941" w:rsidRDefault="001E0015" w:rsidP="003C25C0">
      <w:pPr>
        <w:pStyle w:val="Heading2"/>
        <w:tabs>
          <w:tab w:val="clear" w:pos="851"/>
          <w:tab w:val="num" w:pos="709"/>
        </w:tabs>
        <w:jc w:val="both"/>
      </w:pPr>
      <w:r w:rsidRPr="00961941">
        <w:t>{</w:t>
      </w:r>
      <w:r w:rsidRPr="00961941">
        <w:rPr>
          <w:b/>
        </w:rPr>
        <w:t>M</w:t>
      </w:r>
      <w:r w:rsidRPr="00961941">
        <w:t xml:space="preserve">} </w:t>
      </w:r>
      <w:r w:rsidR="0074269E" w:rsidRPr="00961941">
        <w:t>Priklju</w:t>
      </w:r>
      <w:r w:rsidR="0074269E" w:rsidRPr="00961941">
        <w:rPr>
          <w:rFonts w:ascii="Times New Roman" w:hAnsi="Times New Roman"/>
        </w:rPr>
        <w:t>č</w:t>
      </w:r>
      <w:r w:rsidR="0074269E" w:rsidRPr="00961941">
        <w:rPr>
          <w:rFonts w:cs="Times New (W1)"/>
        </w:rPr>
        <w:t xml:space="preserve">ni kabeli/niti na </w:t>
      </w:r>
      <w:smartTag w:uri="urn:schemas-microsoft-com:office:smarttags" w:element="stockticker">
        <w:r w:rsidR="001F2DD4" w:rsidRPr="00961941">
          <w:t>PLC</w:t>
        </w:r>
      </w:smartTag>
      <w:r w:rsidR="0074269E" w:rsidRPr="00961941">
        <w:t xml:space="preserve"> komponenti</w:t>
      </w:r>
      <w:r w:rsidR="009F5DA5" w:rsidRPr="00961941">
        <w:t xml:space="preserve"> mora</w:t>
      </w:r>
      <w:r w:rsidR="0074269E" w:rsidRPr="00961941">
        <w:t>ju</w:t>
      </w:r>
      <w:r w:rsidR="009F5DA5" w:rsidRPr="00961941">
        <w:t xml:space="preserve"> imati odre</w:t>
      </w:r>
      <w:r w:rsidR="009F5DA5" w:rsidRPr="00961941">
        <w:rPr>
          <w:rFonts w:ascii="Times New Roman" w:hAnsi="Times New Roman"/>
        </w:rPr>
        <w:t>đ</w:t>
      </w:r>
      <w:r w:rsidR="009F5DA5" w:rsidRPr="00961941">
        <w:rPr>
          <w:rFonts w:cs="Times New (W1)"/>
        </w:rPr>
        <w:t>enu otpornost na uvijanje.</w:t>
      </w:r>
    </w:p>
    <w:p w14:paraId="0A803447" w14:textId="77777777" w:rsidR="006265E4" w:rsidRPr="00961941" w:rsidRDefault="006265E4" w:rsidP="00382C91">
      <w:pPr>
        <w:jc w:val="both"/>
        <w:rPr>
          <w:lang w:val="hr-HR"/>
        </w:rPr>
      </w:pPr>
    </w:p>
    <w:p w14:paraId="73623C04" w14:textId="77777777" w:rsidR="009F5DA5" w:rsidRPr="00961941" w:rsidRDefault="009F5DA5" w:rsidP="00382C91">
      <w:pPr>
        <w:ind w:left="851"/>
        <w:jc w:val="both"/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>Uvjeti pri testiranju i sam postupak ispitivanja treba biti u sk</w:t>
      </w:r>
      <w:r w:rsidR="00DE1E5A" w:rsidRPr="00961941">
        <w:rPr>
          <w:sz w:val="24"/>
          <w:szCs w:val="24"/>
          <w:lang w:val="hr-HR"/>
        </w:rPr>
        <w:t>ladu sa  IEC  61300-2-5 [2].</w:t>
      </w:r>
    </w:p>
    <w:p w14:paraId="1AA55673" w14:textId="77777777" w:rsidR="007E672C" w:rsidRPr="00961941" w:rsidRDefault="007E672C" w:rsidP="00382C91">
      <w:pPr>
        <w:jc w:val="both"/>
        <w:rPr>
          <w:lang w:val="hr-HR"/>
        </w:rPr>
      </w:pPr>
    </w:p>
    <w:p w14:paraId="53F229F5" w14:textId="77777777" w:rsidR="00575ED3" w:rsidRPr="00961941" w:rsidRDefault="00575ED3" w:rsidP="00382C91">
      <w:pPr>
        <w:jc w:val="both"/>
        <w:rPr>
          <w:lang w:val="hr-HR"/>
        </w:rPr>
      </w:pPr>
    </w:p>
    <w:p w14:paraId="0C406DFB" w14:textId="77777777" w:rsidR="006265E4" w:rsidRPr="00961941" w:rsidRDefault="006265E4" w:rsidP="00382C91">
      <w:pPr>
        <w:jc w:val="both"/>
        <w:rPr>
          <w:lang w:val="hr-HR"/>
        </w:rPr>
      </w:pPr>
    </w:p>
    <w:p w14:paraId="1EC7DEB9" w14:textId="77777777" w:rsidR="009F5DA5" w:rsidRPr="00961941" w:rsidRDefault="009F5DA5" w:rsidP="00382C91">
      <w:pPr>
        <w:pStyle w:val="Heading1"/>
        <w:jc w:val="both"/>
        <w:rPr>
          <w:b/>
        </w:rPr>
      </w:pPr>
      <w:r w:rsidRPr="00961941">
        <w:rPr>
          <w:b/>
        </w:rPr>
        <w:t>KLIMATSKE ZNAČAJKE</w:t>
      </w:r>
    </w:p>
    <w:p w14:paraId="74B81CF2" w14:textId="77777777" w:rsidR="009F5DA5" w:rsidRPr="00961941" w:rsidRDefault="009F5DA5" w:rsidP="00382C91">
      <w:pPr>
        <w:jc w:val="both"/>
        <w:rPr>
          <w:lang w:val="hr-HR"/>
        </w:rPr>
      </w:pPr>
    </w:p>
    <w:p w14:paraId="563B6387" w14:textId="77777777" w:rsidR="006265E4" w:rsidRPr="00961941" w:rsidRDefault="006265E4" w:rsidP="00382C91">
      <w:pPr>
        <w:jc w:val="both"/>
        <w:rPr>
          <w:lang w:val="hr-HR"/>
        </w:rPr>
      </w:pPr>
    </w:p>
    <w:p w14:paraId="3F66165F" w14:textId="77777777" w:rsidR="009F5DA5" w:rsidRPr="00961941" w:rsidRDefault="001E0015" w:rsidP="003C25C0">
      <w:pPr>
        <w:pStyle w:val="Heading2"/>
        <w:tabs>
          <w:tab w:val="clear" w:pos="851"/>
          <w:tab w:val="num" w:pos="709"/>
        </w:tabs>
        <w:jc w:val="both"/>
      </w:pPr>
      <w:r w:rsidRPr="00961941">
        <w:t>{</w:t>
      </w:r>
      <w:r w:rsidRPr="00961941">
        <w:rPr>
          <w:b/>
        </w:rPr>
        <w:t>M</w:t>
      </w:r>
      <w:r w:rsidRPr="00961941">
        <w:t xml:space="preserve">} </w:t>
      </w:r>
      <w:r w:rsidR="009F5DA5" w:rsidRPr="00961941">
        <w:t xml:space="preserve">Dozvoljena temperaturno područje u kojem trebaju biti garantirane optičke karakteristike (točka 5 ovih uvjeta) je: </w:t>
      </w:r>
    </w:p>
    <w:p w14:paraId="4A751CAB" w14:textId="77777777" w:rsidR="009F5DA5" w:rsidRPr="00961941" w:rsidRDefault="00213730" w:rsidP="00382C91">
      <w:pPr>
        <w:ind w:left="851"/>
        <w:jc w:val="both"/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 xml:space="preserve">- </w:t>
      </w:r>
      <w:r w:rsidR="009F5DA5" w:rsidRPr="00961941">
        <w:rPr>
          <w:sz w:val="24"/>
          <w:szCs w:val="24"/>
          <w:lang w:val="hr-HR"/>
        </w:rPr>
        <w:t>u eksploataciji od –2</w:t>
      </w:r>
      <w:r w:rsidR="00DD7DB3" w:rsidRPr="00961941">
        <w:rPr>
          <w:sz w:val="24"/>
          <w:szCs w:val="24"/>
          <w:lang w:val="hr-HR"/>
        </w:rPr>
        <w:t>0</w:t>
      </w:r>
      <w:r w:rsidR="000B0BB1" w:rsidRPr="00961941">
        <w:rPr>
          <w:sz w:val="24"/>
          <w:szCs w:val="24"/>
          <w:lang w:val="hr-HR"/>
        </w:rPr>
        <w:t>º</w:t>
      </w:r>
      <w:r w:rsidR="009F5DA5" w:rsidRPr="00961941">
        <w:rPr>
          <w:sz w:val="24"/>
          <w:szCs w:val="24"/>
          <w:lang w:val="hr-HR"/>
        </w:rPr>
        <w:t>C do +70</w:t>
      </w:r>
      <w:r w:rsidR="000B0BB1" w:rsidRPr="00961941">
        <w:rPr>
          <w:sz w:val="24"/>
          <w:szCs w:val="24"/>
          <w:lang w:val="hr-HR"/>
        </w:rPr>
        <w:t>º</w:t>
      </w:r>
      <w:r w:rsidR="009F5DA5" w:rsidRPr="00961941">
        <w:rPr>
          <w:sz w:val="24"/>
          <w:szCs w:val="24"/>
          <w:lang w:val="hr-HR"/>
        </w:rPr>
        <w:t>C,</w:t>
      </w:r>
    </w:p>
    <w:p w14:paraId="09D9A404" w14:textId="77777777" w:rsidR="009F5DA5" w:rsidRPr="00961941" w:rsidRDefault="000B0BB1" w:rsidP="00382C91">
      <w:pPr>
        <w:ind w:left="851"/>
        <w:jc w:val="both"/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>- kod skladištenja</w:t>
      </w:r>
      <w:r w:rsidR="009F5DA5" w:rsidRPr="00961941">
        <w:rPr>
          <w:sz w:val="24"/>
          <w:szCs w:val="24"/>
          <w:lang w:val="hr-HR"/>
        </w:rPr>
        <w:t xml:space="preserve"> –40</w:t>
      </w:r>
      <w:r w:rsidRPr="00961941">
        <w:rPr>
          <w:sz w:val="24"/>
          <w:szCs w:val="24"/>
          <w:lang w:val="hr-HR"/>
        </w:rPr>
        <w:t>º</w:t>
      </w:r>
      <w:r w:rsidR="009F5DA5" w:rsidRPr="00961941">
        <w:rPr>
          <w:sz w:val="24"/>
          <w:szCs w:val="24"/>
          <w:lang w:val="hr-HR"/>
        </w:rPr>
        <w:t>C do +80</w:t>
      </w:r>
      <w:r w:rsidRPr="00961941">
        <w:rPr>
          <w:sz w:val="24"/>
          <w:szCs w:val="24"/>
          <w:lang w:val="hr-HR"/>
        </w:rPr>
        <w:t>º</w:t>
      </w:r>
      <w:r w:rsidR="009F5DA5" w:rsidRPr="00961941">
        <w:rPr>
          <w:sz w:val="24"/>
          <w:szCs w:val="24"/>
          <w:lang w:val="hr-HR"/>
        </w:rPr>
        <w:t>C.</w:t>
      </w:r>
    </w:p>
    <w:p w14:paraId="7D75E366" w14:textId="77777777" w:rsidR="009F5DA5" w:rsidRPr="00961941" w:rsidRDefault="009F5DA5" w:rsidP="00382C91">
      <w:pPr>
        <w:jc w:val="both"/>
        <w:rPr>
          <w:lang w:val="hr-HR"/>
        </w:rPr>
      </w:pPr>
    </w:p>
    <w:p w14:paraId="2EA1B7DE" w14:textId="77777777" w:rsidR="009F5DA5" w:rsidRPr="00961941" w:rsidRDefault="001E0015" w:rsidP="003C25C0">
      <w:pPr>
        <w:pStyle w:val="Heading2"/>
        <w:tabs>
          <w:tab w:val="clear" w:pos="851"/>
          <w:tab w:val="num" w:pos="709"/>
        </w:tabs>
        <w:jc w:val="both"/>
      </w:pPr>
      <w:r w:rsidRPr="00961941">
        <w:t>{</w:t>
      </w:r>
      <w:r w:rsidRPr="00961941">
        <w:rPr>
          <w:b/>
        </w:rPr>
        <w:t>M</w:t>
      </w:r>
      <w:r w:rsidRPr="00961941">
        <w:t xml:space="preserve">} </w:t>
      </w:r>
      <w:r w:rsidR="009F5DA5" w:rsidRPr="00961941">
        <w:t>Testiranje utjecaja temperaturnih promjena i opis uvjeta koji vladaju pri ispitivanju izvodi se u skladu sa IEC  61300-2-</w:t>
      </w:r>
      <w:r w:rsidR="00681D19" w:rsidRPr="00961941">
        <w:t>22</w:t>
      </w:r>
      <w:r w:rsidR="00DE1E5A" w:rsidRPr="00961941">
        <w:t xml:space="preserve"> [2].</w:t>
      </w:r>
    </w:p>
    <w:p w14:paraId="0D178436" w14:textId="77777777" w:rsidR="006265E4" w:rsidRPr="00961941" w:rsidRDefault="006265E4" w:rsidP="00382C91">
      <w:pPr>
        <w:jc w:val="both"/>
        <w:rPr>
          <w:lang w:val="hr-HR"/>
        </w:rPr>
      </w:pPr>
    </w:p>
    <w:p w14:paraId="5A37C6CF" w14:textId="77777777" w:rsidR="009F5DA5" w:rsidRPr="00961941" w:rsidRDefault="001E0015" w:rsidP="003C25C0">
      <w:pPr>
        <w:pStyle w:val="Heading2"/>
        <w:tabs>
          <w:tab w:val="clear" w:pos="851"/>
          <w:tab w:val="num" w:pos="709"/>
        </w:tabs>
        <w:jc w:val="both"/>
      </w:pPr>
      <w:r w:rsidRPr="00961941">
        <w:t>{</w:t>
      </w:r>
      <w:r w:rsidRPr="00961941">
        <w:rPr>
          <w:b/>
        </w:rPr>
        <w:t>M</w:t>
      </w:r>
      <w:r w:rsidRPr="00961941">
        <w:t xml:space="preserve">} </w:t>
      </w:r>
      <w:r w:rsidR="009F5DA5" w:rsidRPr="00961941">
        <w:t>Testiranje predmetne komponente za rad na najnižoj temperaturi izvodi se u skl</w:t>
      </w:r>
      <w:r w:rsidR="00DE1E5A" w:rsidRPr="00961941">
        <w:t>adu sa  IEC  61300-2-17 [2].</w:t>
      </w:r>
    </w:p>
    <w:p w14:paraId="28D2E012" w14:textId="77777777" w:rsidR="006265E4" w:rsidRPr="00961941" w:rsidRDefault="006265E4" w:rsidP="00382C91">
      <w:pPr>
        <w:jc w:val="both"/>
        <w:rPr>
          <w:lang w:val="hr-HR"/>
        </w:rPr>
      </w:pPr>
    </w:p>
    <w:p w14:paraId="3CEAE975" w14:textId="77777777" w:rsidR="009F5DA5" w:rsidRPr="00961941" w:rsidRDefault="001E0015" w:rsidP="003C25C0">
      <w:pPr>
        <w:pStyle w:val="Heading2"/>
        <w:tabs>
          <w:tab w:val="clear" w:pos="851"/>
          <w:tab w:val="num" w:pos="709"/>
        </w:tabs>
        <w:jc w:val="both"/>
      </w:pPr>
      <w:r w:rsidRPr="00961941">
        <w:t>{</w:t>
      </w:r>
      <w:r w:rsidRPr="00961941">
        <w:rPr>
          <w:b/>
        </w:rPr>
        <w:t>M</w:t>
      </w:r>
      <w:r w:rsidRPr="00961941">
        <w:t xml:space="preserve">} </w:t>
      </w:r>
      <w:r w:rsidR="009F5DA5" w:rsidRPr="00961941">
        <w:t>Testiranje predmetne komponente za rad na najvišoj temperaturi izvodi se u skl</w:t>
      </w:r>
      <w:r w:rsidR="00DE1E5A" w:rsidRPr="00961941">
        <w:t>adu sa  IEC  61300-2-18 [2].</w:t>
      </w:r>
    </w:p>
    <w:p w14:paraId="1B0AFBF5" w14:textId="77777777" w:rsidR="006265E4" w:rsidRPr="00961941" w:rsidRDefault="006265E4" w:rsidP="00382C91">
      <w:pPr>
        <w:jc w:val="both"/>
        <w:rPr>
          <w:lang w:val="hr-HR"/>
        </w:rPr>
      </w:pPr>
    </w:p>
    <w:p w14:paraId="0F70A04D" w14:textId="77777777" w:rsidR="009F5DA5" w:rsidRPr="00961941" w:rsidRDefault="001E0015" w:rsidP="003C25C0">
      <w:pPr>
        <w:pStyle w:val="Heading2"/>
        <w:tabs>
          <w:tab w:val="clear" w:pos="851"/>
          <w:tab w:val="num" w:pos="709"/>
        </w:tabs>
        <w:jc w:val="both"/>
      </w:pPr>
      <w:r w:rsidRPr="00961941">
        <w:t>{</w:t>
      </w:r>
      <w:r w:rsidRPr="00961941">
        <w:rPr>
          <w:b/>
        </w:rPr>
        <w:t>M</w:t>
      </w:r>
      <w:r w:rsidRPr="00961941">
        <w:t xml:space="preserve">} </w:t>
      </w:r>
      <w:r w:rsidR="009F5DA5" w:rsidRPr="00961941">
        <w:t xml:space="preserve">Predmetna komponenta mora imati adekvatnu otpornost na </w:t>
      </w:r>
      <w:r w:rsidR="00EE4A09" w:rsidRPr="00961941">
        <w:t>rad u uvjetima promjenljive tem</w:t>
      </w:r>
      <w:r w:rsidR="0099305C" w:rsidRPr="00961941">
        <w:t>p</w:t>
      </w:r>
      <w:r w:rsidR="00EE4A09" w:rsidRPr="00961941">
        <w:t xml:space="preserve">erature i </w:t>
      </w:r>
      <w:r w:rsidR="009F5DA5" w:rsidRPr="00961941">
        <w:t>vlag</w:t>
      </w:r>
      <w:r w:rsidR="00EE4A09" w:rsidRPr="00961941">
        <w:t>e</w:t>
      </w:r>
      <w:r w:rsidR="009F5DA5" w:rsidRPr="00961941">
        <w:t xml:space="preserve">. Testiranje predmetne komponente na </w:t>
      </w:r>
      <w:r w:rsidR="00EE4A09" w:rsidRPr="00961941">
        <w:t>temperaturne promjene i promjene vlage</w:t>
      </w:r>
      <w:r w:rsidR="009F5DA5" w:rsidRPr="00961941">
        <w:t xml:space="preserve"> treba biti u skladu sa  IEC  61300-2-</w:t>
      </w:r>
      <w:r w:rsidR="00EE4A09" w:rsidRPr="00961941">
        <w:t>2</w:t>
      </w:r>
      <w:r w:rsidR="00DE1E5A" w:rsidRPr="00961941">
        <w:t>1 [2].</w:t>
      </w:r>
    </w:p>
    <w:p w14:paraId="6EC26996" w14:textId="77777777" w:rsidR="009F5DA5" w:rsidRPr="00961941" w:rsidRDefault="009F5DA5" w:rsidP="00382C91">
      <w:pPr>
        <w:jc w:val="both"/>
        <w:rPr>
          <w:lang w:val="hr-HR"/>
        </w:rPr>
      </w:pPr>
    </w:p>
    <w:p w14:paraId="33598180" w14:textId="77777777" w:rsidR="005F3597" w:rsidRPr="00961941" w:rsidRDefault="005F3597" w:rsidP="005F3597">
      <w:pPr>
        <w:pStyle w:val="Heading1"/>
        <w:numPr>
          <w:ilvl w:val="0"/>
          <w:numId w:val="0"/>
        </w:numPr>
      </w:pPr>
    </w:p>
    <w:p w14:paraId="0BC9D575" w14:textId="77777777" w:rsidR="005F3597" w:rsidRPr="00961941" w:rsidRDefault="005F3597" w:rsidP="005F3597">
      <w:pPr>
        <w:rPr>
          <w:lang w:val="hr-HR"/>
        </w:rPr>
      </w:pPr>
    </w:p>
    <w:p w14:paraId="590EA7B1" w14:textId="77777777" w:rsidR="009F5DA5" w:rsidRPr="00961941" w:rsidRDefault="009F5DA5" w:rsidP="00136766">
      <w:pPr>
        <w:pStyle w:val="Heading1"/>
        <w:rPr>
          <w:b/>
        </w:rPr>
      </w:pPr>
      <w:r w:rsidRPr="00961941">
        <w:rPr>
          <w:b/>
        </w:rPr>
        <w:t>OPTIČKE  ZNAČAJKE</w:t>
      </w:r>
    </w:p>
    <w:p w14:paraId="2244285D" w14:textId="77777777" w:rsidR="00077F6E" w:rsidRPr="00961941" w:rsidRDefault="00077F6E" w:rsidP="00077F6E">
      <w:pPr>
        <w:rPr>
          <w:lang w:val="hr-HR"/>
        </w:rPr>
      </w:pPr>
    </w:p>
    <w:p w14:paraId="2BCD4350" w14:textId="77777777" w:rsidR="006265E4" w:rsidRPr="00961941" w:rsidRDefault="006265E4" w:rsidP="00136766">
      <w:pPr>
        <w:rPr>
          <w:lang w:val="hr-HR"/>
        </w:rPr>
      </w:pPr>
    </w:p>
    <w:p w14:paraId="7C9C317F" w14:textId="77777777" w:rsidR="00DB6C87" w:rsidRPr="00961941" w:rsidRDefault="00DB6C87" w:rsidP="003C25C0">
      <w:pPr>
        <w:pStyle w:val="Heading2"/>
        <w:tabs>
          <w:tab w:val="clear" w:pos="851"/>
          <w:tab w:val="num" w:pos="709"/>
        </w:tabs>
        <w:rPr>
          <w:szCs w:val="24"/>
        </w:rPr>
      </w:pPr>
      <w:r w:rsidRPr="00961941">
        <w:t>{</w:t>
      </w:r>
      <w:r w:rsidRPr="00961941">
        <w:rPr>
          <w:b/>
        </w:rPr>
        <w:t>I</w:t>
      </w:r>
      <w:r w:rsidRPr="00961941">
        <w:t xml:space="preserve">} </w:t>
      </w:r>
      <w:r w:rsidRPr="00961941">
        <w:rPr>
          <w:szCs w:val="24"/>
        </w:rPr>
        <w:t xml:space="preserve">Ovim tehničkim uvjetom definiraju se optičke karakteristike </w:t>
      </w:r>
      <w:smartTag w:uri="urn:schemas-microsoft-com:office:smarttags" w:element="stockticker">
        <w:r w:rsidRPr="00961941">
          <w:rPr>
            <w:szCs w:val="24"/>
          </w:rPr>
          <w:t>PLC</w:t>
        </w:r>
      </w:smartTag>
      <w:r w:rsidRPr="00961941">
        <w:rPr>
          <w:szCs w:val="24"/>
        </w:rPr>
        <w:t xml:space="preserve"> komponenti koje su predviđene za distribuciju optičkog signala iz jednog izvora na više točaka jedne grane jednoliko po svim izlazima i prikupljanje signala iz više točaka u jednu.</w:t>
      </w:r>
    </w:p>
    <w:p w14:paraId="0F23C263" w14:textId="77777777" w:rsidR="00DB6C87" w:rsidRPr="00961941" w:rsidRDefault="00DB6C87" w:rsidP="00DB6C87">
      <w:pPr>
        <w:rPr>
          <w:lang w:val="hr-HR"/>
        </w:rPr>
      </w:pPr>
    </w:p>
    <w:p w14:paraId="69E4FD25" w14:textId="77777777" w:rsidR="009F5DA5" w:rsidRPr="00961941" w:rsidRDefault="001E0015" w:rsidP="003C25C0">
      <w:pPr>
        <w:pStyle w:val="Heading2"/>
        <w:tabs>
          <w:tab w:val="clear" w:pos="851"/>
          <w:tab w:val="num" w:pos="709"/>
        </w:tabs>
      </w:pPr>
      <w:r w:rsidRPr="00961941">
        <w:t>{</w:t>
      </w:r>
      <w:r w:rsidRPr="00961941">
        <w:rPr>
          <w:b/>
        </w:rPr>
        <w:t>M</w:t>
      </w:r>
      <w:r w:rsidRPr="00961941">
        <w:t xml:space="preserve">} </w:t>
      </w:r>
      <w:r w:rsidR="002B67D5" w:rsidRPr="00961941">
        <w:t>Vrijednost une</w:t>
      </w:r>
      <w:r w:rsidR="00746155" w:rsidRPr="00961941">
        <w:t>s</w:t>
      </w:r>
      <w:r w:rsidR="002B67D5" w:rsidRPr="00961941">
        <w:t xml:space="preserve">enih gubitaka </w:t>
      </w:r>
      <w:r w:rsidR="008E4128" w:rsidRPr="00961941">
        <w:t xml:space="preserve">(IL – </w:t>
      </w:r>
      <w:proofErr w:type="spellStart"/>
      <w:r w:rsidR="008E4128" w:rsidRPr="00961941">
        <w:t>Insertion</w:t>
      </w:r>
      <w:proofErr w:type="spellEnd"/>
      <w:r w:rsidR="008E4128" w:rsidRPr="00961941">
        <w:t xml:space="preserve"> </w:t>
      </w:r>
      <w:proofErr w:type="spellStart"/>
      <w:r w:rsidR="008E4128" w:rsidRPr="00961941">
        <w:t>losses</w:t>
      </w:r>
      <w:proofErr w:type="spellEnd"/>
      <w:r w:rsidR="008E4128" w:rsidRPr="00961941">
        <w:t>)</w:t>
      </w:r>
      <w:r w:rsidR="00DB6C87" w:rsidRPr="00961941">
        <w:t>.</w:t>
      </w:r>
    </w:p>
    <w:p w14:paraId="10D06297" w14:textId="77777777" w:rsidR="008E4128" w:rsidRPr="00961941" w:rsidRDefault="008E4128" w:rsidP="00136766">
      <w:pPr>
        <w:rPr>
          <w:lang w:val="hr-HR"/>
        </w:rPr>
      </w:pPr>
    </w:p>
    <w:tbl>
      <w:tblPr>
        <w:tblW w:w="4800" w:type="dxa"/>
        <w:jc w:val="center"/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  <w:gridCol w:w="960"/>
      </w:tblGrid>
      <w:tr w:rsidR="00961941" w:rsidRPr="00961941" w14:paraId="5B272C7A" w14:textId="77777777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14:paraId="2562EEC8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1:N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6F43C6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WR1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87E9F5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WR2</w:t>
            </w:r>
          </w:p>
        </w:tc>
      </w:tr>
      <w:tr w:rsidR="00961941" w:rsidRPr="00961941" w14:paraId="6E7CF71B" w14:textId="77777777">
        <w:trPr>
          <w:trHeight w:val="780"/>
          <w:jc w:val="center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8E2214F" w14:textId="77777777" w:rsidR="00312112" w:rsidRPr="00961941" w:rsidRDefault="00312112" w:rsidP="00136766">
            <w:pPr>
              <w:rPr>
                <w:lang w:val="hr-HR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9722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Min. IL</w:t>
            </w:r>
            <w:r w:rsidRPr="00961941">
              <w:rPr>
                <w:lang w:val="hr-HR"/>
              </w:rPr>
              <w:br/>
              <w:t>(dB)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DF7A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Max. IL</w:t>
            </w:r>
            <w:r w:rsidRPr="00961941">
              <w:rPr>
                <w:lang w:val="hr-HR"/>
              </w:rPr>
              <w:br/>
              <w:t>(dB)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02EA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Min. IL</w:t>
            </w:r>
            <w:r w:rsidRPr="00961941">
              <w:rPr>
                <w:lang w:val="hr-HR"/>
              </w:rPr>
              <w:br/>
              <w:t>(dB)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4C2AC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Max. IL</w:t>
            </w:r>
            <w:r w:rsidRPr="00961941">
              <w:rPr>
                <w:lang w:val="hr-HR"/>
              </w:rPr>
              <w:br/>
              <w:t>(dB)</w:t>
            </w:r>
          </w:p>
        </w:tc>
      </w:tr>
      <w:tr w:rsidR="00961941" w:rsidRPr="00961941" w14:paraId="747441C1" w14:textId="7777777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B09B" w14:textId="77777777" w:rsidR="00400C83" w:rsidRPr="00961941" w:rsidRDefault="00400C83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166E" w14:textId="77777777" w:rsidR="00400C83" w:rsidRPr="00961941" w:rsidRDefault="001C227B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57EC" w14:textId="77777777" w:rsidR="00400C83" w:rsidRPr="00961941" w:rsidRDefault="001C227B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2CA08" w14:textId="77777777" w:rsidR="00400C83" w:rsidRPr="00961941" w:rsidRDefault="001C227B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D71D2" w14:textId="77777777" w:rsidR="00400C83" w:rsidRPr="00961941" w:rsidRDefault="001C227B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4,0</w:t>
            </w:r>
          </w:p>
        </w:tc>
      </w:tr>
      <w:tr w:rsidR="00961941" w:rsidRPr="00961941" w14:paraId="42AB4850" w14:textId="7777777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795C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75CB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2CF80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4AED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2F74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7,6</w:t>
            </w:r>
          </w:p>
        </w:tc>
      </w:tr>
      <w:tr w:rsidR="00961941" w:rsidRPr="00961941" w14:paraId="20E9E103" w14:textId="7777777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F05E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lastRenderedPageBreak/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0EAE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FC75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E6C7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24B4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10,9</w:t>
            </w:r>
          </w:p>
        </w:tc>
      </w:tr>
      <w:tr w:rsidR="00961941" w:rsidRPr="00961941" w14:paraId="2C774031" w14:textId="7777777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9FED7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25446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D6EB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CFF3E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A964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14,5</w:t>
            </w:r>
          </w:p>
        </w:tc>
      </w:tr>
      <w:tr w:rsidR="00312112" w:rsidRPr="00961941" w14:paraId="713E9645" w14:textId="7777777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60A1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EF9C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F589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955A6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782B8" w14:textId="77777777" w:rsidR="00312112" w:rsidRPr="00961941" w:rsidRDefault="00312112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18,1</w:t>
            </w:r>
          </w:p>
        </w:tc>
      </w:tr>
    </w:tbl>
    <w:p w14:paraId="0917D592" w14:textId="77777777" w:rsidR="002B67D5" w:rsidRPr="00961941" w:rsidRDefault="002B67D5" w:rsidP="00136766">
      <w:pPr>
        <w:rPr>
          <w:lang w:val="hr-HR"/>
        </w:rPr>
      </w:pPr>
    </w:p>
    <w:p w14:paraId="7269094B" w14:textId="77777777" w:rsidR="007A4833" w:rsidRPr="00961941" w:rsidRDefault="007A4833" w:rsidP="00382C91">
      <w:pPr>
        <w:ind w:left="851"/>
        <w:jc w:val="both"/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>Testiranje i mjerenje une</w:t>
      </w:r>
      <w:r w:rsidR="00746155" w:rsidRPr="00961941">
        <w:rPr>
          <w:sz w:val="24"/>
          <w:szCs w:val="24"/>
          <w:lang w:val="hr-HR"/>
        </w:rPr>
        <w:t>s</w:t>
      </w:r>
      <w:r w:rsidRPr="00961941">
        <w:rPr>
          <w:sz w:val="24"/>
          <w:szCs w:val="24"/>
          <w:lang w:val="hr-HR"/>
        </w:rPr>
        <w:t>enih gubitaka izvodi se u skladu s pr</w:t>
      </w:r>
      <w:r w:rsidR="00746155" w:rsidRPr="00961941">
        <w:rPr>
          <w:sz w:val="24"/>
          <w:szCs w:val="24"/>
          <w:lang w:val="hr-HR"/>
        </w:rPr>
        <w:t>e</w:t>
      </w:r>
      <w:r w:rsidRPr="00961941">
        <w:rPr>
          <w:sz w:val="24"/>
          <w:szCs w:val="24"/>
          <w:lang w:val="hr-HR"/>
        </w:rPr>
        <w:t>porukama IEC 61300-3-4 i IEC 61300-3-7 [2].</w:t>
      </w:r>
    </w:p>
    <w:p w14:paraId="4296787C" w14:textId="77777777" w:rsidR="006265E4" w:rsidRPr="00961941" w:rsidRDefault="006265E4" w:rsidP="00382C91">
      <w:pPr>
        <w:jc w:val="both"/>
        <w:rPr>
          <w:sz w:val="24"/>
          <w:szCs w:val="24"/>
          <w:lang w:val="hr-HR"/>
        </w:rPr>
      </w:pPr>
    </w:p>
    <w:p w14:paraId="2198F8CD" w14:textId="77777777" w:rsidR="008E4128" w:rsidRPr="00961941" w:rsidRDefault="001E0015" w:rsidP="003C25C0">
      <w:pPr>
        <w:pStyle w:val="Heading2"/>
        <w:tabs>
          <w:tab w:val="clear" w:pos="851"/>
          <w:tab w:val="num" w:pos="709"/>
        </w:tabs>
        <w:jc w:val="both"/>
      </w:pPr>
      <w:r w:rsidRPr="00961941">
        <w:t>{</w:t>
      </w:r>
      <w:r w:rsidRPr="00961941">
        <w:rPr>
          <w:b/>
        </w:rPr>
        <w:t>M</w:t>
      </w:r>
      <w:r w:rsidRPr="00961941">
        <w:t xml:space="preserve">} </w:t>
      </w:r>
      <w:r w:rsidR="008E4128" w:rsidRPr="00961941">
        <w:t>Ma</w:t>
      </w:r>
      <w:r w:rsidR="00746155" w:rsidRPr="00961941">
        <w:t>ks</w:t>
      </w:r>
      <w:r w:rsidR="008E4128" w:rsidRPr="00961941">
        <w:t>imalna vrijednost reflektiranog signala</w:t>
      </w:r>
      <w:r w:rsidR="0001437E" w:rsidRPr="00961941">
        <w:t xml:space="preserve"> ( RL-</w:t>
      </w:r>
      <w:proofErr w:type="spellStart"/>
      <w:r w:rsidR="0001437E" w:rsidRPr="00961941">
        <w:t>return</w:t>
      </w:r>
      <w:proofErr w:type="spellEnd"/>
      <w:r w:rsidR="0001437E" w:rsidRPr="00961941">
        <w:t xml:space="preserve"> </w:t>
      </w:r>
      <w:proofErr w:type="spellStart"/>
      <w:r w:rsidR="0001437E" w:rsidRPr="00961941">
        <w:t>loss</w:t>
      </w:r>
      <w:proofErr w:type="spellEnd"/>
      <w:r w:rsidR="0001437E" w:rsidRPr="00961941">
        <w:t>)</w:t>
      </w:r>
      <w:r w:rsidR="008E4128" w:rsidRPr="00961941">
        <w:t xml:space="preserve"> mora biti </w:t>
      </w:r>
      <w:r w:rsidR="001051AE" w:rsidRPr="00961941">
        <w:t>manja od -55 dB</w:t>
      </w:r>
      <w:r w:rsidR="008E4128" w:rsidRPr="00961941">
        <w:t>.</w:t>
      </w:r>
    </w:p>
    <w:p w14:paraId="048D9C74" w14:textId="77777777" w:rsidR="006265E4" w:rsidRPr="00961941" w:rsidRDefault="006265E4" w:rsidP="00136766">
      <w:pPr>
        <w:rPr>
          <w:lang w:val="hr-HR"/>
        </w:rPr>
      </w:pPr>
    </w:p>
    <w:p w14:paraId="47B7C8A9" w14:textId="77777777" w:rsidR="009F5DA5" w:rsidRPr="00961941" w:rsidRDefault="001E0015" w:rsidP="003C25C0">
      <w:pPr>
        <w:pStyle w:val="Heading2"/>
        <w:tabs>
          <w:tab w:val="clear" w:pos="851"/>
          <w:tab w:val="num" w:pos="709"/>
        </w:tabs>
      </w:pPr>
      <w:r w:rsidRPr="00961941">
        <w:t>{</w:t>
      </w:r>
      <w:r w:rsidRPr="00961941">
        <w:rPr>
          <w:b/>
        </w:rPr>
        <w:t>M</w:t>
      </w:r>
      <w:r w:rsidRPr="00961941">
        <w:t xml:space="preserve">} </w:t>
      </w:r>
      <w:r w:rsidR="009F5DA5" w:rsidRPr="00961941">
        <w:t xml:space="preserve">Širina propusnog </w:t>
      </w:r>
      <w:r w:rsidR="008705A8" w:rsidRPr="00961941">
        <w:t>pojasa</w:t>
      </w:r>
      <w:r w:rsidR="0001437E" w:rsidRPr="00961941">
        <w:t xml:space="preserve"> ( </w:t>
      </w:r>
      <w:proofErr w:type="spellStart"/>
      <w:r w:rsidR="0001437E" w:rsidRPr="00961941">
        <w:t>Operating</w:t>
      </w:r>
      <w:proofErr w:type="spellEnd"/>
      <w:r w:rsidR="0001437E" w:rsidRPr="00961941">
        <w:t xml:space="preserve"> </w:t>
      </w:r>
      <w:proofErr w:type="spellStart"/>
      <w:r w:rsidR="0001437E" w:rsidRPr="00961941">
        <w:t>wavelength</w:t>
      </w:r>
      <w:proofErr w:type="spellEnd"/>
      <w:r w:rsidR="0001437E" w:rsidRPr="00961941">
        <w:t xml:space="preserve"> </w:t>
      </w:r>
      <w:proofErr w:type="spellStart"/>
      <w:r w:rsidR="0001437E" w:rsidRPr="00961941">
        <w:t>range</w:t>
      </w:r>
      <w:proofErr w:type="spellEnd"/>
      <w:r w:rsidR="0001437E" w:rsidRPr="00961941">
        <w:t xml:space="preserve">) </w:t>
      </w:r>
      <w:r w:rsidR="00FD4F77" w:rsidRPr="00961941">
        <w:t>:</w:t>
      </w:r>
    </w:p>
    <w:p w14:paraId="7099CFE9" w14:textId="77777777" w:rsidR="008705A8" w:rsidRPr="00961941" w:rsidRDefault="008705A8" w:rsidP="00136766">
      <w:pPr>
        <w:rPr>
          <w:lang w:val="hr-HR"/>
        </w:rPr>
      </w:pPr>
    </w:p>
    <w:p w14:paraId="57CA19A6" w14:textId="77777777" w:rsidR="006265E4" w:rsidRPr="00961941" w:rsidRDefault="006265E4" w:rsidP="00136766">
      <w:pPr>
        <w:rPr>
          <w:lang w:val="hr-HR"/>
        </w:rPr>
      </w:pPr>
    </w:p>
    <w:tbl>
      <w:tblPr>
        <w:tblW w:w="3840" w:type="dxa"/>
        <w:jc w:val="center"/>
        <w:tblLook w:val="0000" w:firstRow="0" w:lastRow="0" w:firstColumn="0" w:lastColumn="0" w:noHBand="0" w:noVBand="0"/>
      </w:tblPr>
      <w:tblGrid>
        <w:gridCol w:w="960"/>
        <w:gridCol w:w="1006"/>
        <w:gridCol w:w="960"/>
        <w:gridCol w:w="960"/>
      </w:tblGrid>
      <w:tr w:rsidR="00961941" w:rsidRPr="00961941" w14:paraId="00B1FB71" w14:textId="77777777">
        <w:trPr>
          <w:trHeight w:val="52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46E6D1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E73F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PROZOR</w:t>
            </w:r>
            <w:r w:rsidRPr="00961941">
              <w:rPr>
                <w:lang w:val="hr-HR"/>
              </w:rPr>
              <w:br/>
              <w:t>(nm)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3785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OD</w:t>
            </w:r>
            <w:r w:rsidRPr="00961941">
              <w:rPr>
                <w:lang w:val="hr-HR"/>
              </w:rPr>
              <w:br/>
              <w:t>(nm)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1BEF24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DO</w:t>
            </w:r>
            <w:r w:rsidRPr="00961941">
              <w:rPr>
                <w:lang w:val="hr-HR"/>
              </w:rPr>
              <w:br/>
              <w:t>(nm)</w:t>
            </w:r>
          </w:p>
        </w:tc>
      </w:tr>
      <w:tr w:rsidR="00961941" w:rsidRPr="00961941" w14:paraId="305800E7" w14:textId="77777777">
        <w:trPr>
          <w:trHeight w:val="255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07DCD7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WR1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00631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A3BD3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05E611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1360</w:t>
            </w:r>
          </w:p>
        </w:tc>
      </w:tr>
      <w:tr w:rsidR="00961941" w:rsidRPr="00961941" w14:paraId="3968C09E" w14:textId="77777777">
        <w:trPr>
          <w:trHeight w:val="255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778E2" w14:textId="77777777" w:rsidR="008705A8" w:rsidRPr="00961941" w:rsidRDefault="008705A8" w:rsidP="00136766">
            <w:pPr>
              <w:rPr>
                <w:lang w:val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53D35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A028F" w14:textId="77777777" w:rsidR="008705A8" w:rsidRPr="00961941" w:rsidRDefault="006248D9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148</w:t>
            </w:r>
            <w:r w:rsidR="008705A8" w:rsidRPr="00961941">
              <w:rPr>
                <w:lang w:val="hr-HR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E0D56E" w14:textId="77777777" w:rsidR="008705A8" w:rsidRPr="00961941" w:rsidRDefault="006248D9" w:rsidP="006248D9">
            <w:pPr>
              <w:rPr>
                <w:lang w:val="hr-HR"/>
              </w:rPr>
            </w:pPr>
            <w:r w:rsidRPr="00961941">
              <w:rPr>
                <w:lang w:val="hr-HR"/>
              </w:rPr>
              <w:t>1625</w:t>
            </w:r>
          </w:p>
        </w:tc>
      </w:tr>
      <w:tr w:rsidR="00961941" w:rsidRPr="00961941" w14:paraId="45A815D2" w14:textId="77777777">
        <w:trPr>
          <w:trHeight w:val="255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B23735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WR2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C9C83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D002B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CC5364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1360</w:t>
            </w:r>
          </w:p>
        </w:tc>
      </w:tr>
      <w:tr w:rsidR="008705A8" w:rsidRPr="00961941" w14:paraId="4175C5E7" w14:textId="77777777">
        <w:trPr>
          <w:trHeight w:val="27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59E1BE" w14:textId="77777777" w:rsidR="008705A8" w:rsidRPr="00961941" w:rsidRDefault="008705A8" w:rsidP="00136766">
            <w:pPr>
              <w:rPr>
                <w:lang w:val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628A9" w14:textId="77777777" w:rsidR="008705A8" w:rsidRPr="00961941" w:rsidRDefault="008705A8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2D826" w14:textId="77777777" w:rsidR="008705A8" w:rsidRPr="00961941" w:rsidRDefault="006248D9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EB1447" w14:textId="77777777" w:rsidR="008705A8" w:rsidRPr="00961941" w:rsidRDefault="00EB103D" w:rsidP="006248D9">
            <w:pPr>
              <w:rPr>
                <w:lang w:val="hr-HR"/>
              </w:rPr>
            </w:pPr>
            <w:r w:rsidRPr="00961941">
              <w:rPr>
                <w:lang w:val="hr-HR"/>
              </w:rPr>
              <w:t>16</w:t>
            </w:r>
            <w:r w:rsidR="006248D9" w:rsidRPr="00961941">
              <w:rPr>
                <w:lang w:val="hr-HR"/>
              </w:rPr>
              <w:t>60</w:t>
            </w:r>
          </w:p>
        </w:tc>
      </w:tr>
    </w:tbl>
    <w:p w14:paraId="5E360E26" w14:textId="77777777" w:rsidR="008705A8" w:rsidRPr="00961941" w:rsidRDefault="008705A8" w:rsidP="00136766">
      <w:pPr>
        <w:rPr>
          <w:lang w:val="hr-HR"/>
        </w:rPr>
      </w:pPr>
    </w:p>
    <w:p w14:paraId="5AC9C2D6" w14:textId="77777777" w:rsidR="009F5DA5" w:rsidRPr="00961941" w:rsidRDefault="009F5DA5" w:rsidP="00382C91">
      <w:pPr>
        <w:ind w:left="851"/>
        <w:jc w:val="both"/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>Testiranje i mjerenje propusnog opsega izvodi s</w:t>
      </w:r>
      <w:r w:rsidR="008705A8" w:rsidRPr="00961941">
        <w:rPr>
          <w:sz w:val="24"/>
          <w:szCs w:val="24"/>
          <w:lang w:val="hr-HR"/>
        </w:rPr>
        <w:t>e u skladu s IEC 61300-3-7</w:t>
      </w:r>
      <w:r w:rsidR="007A4833" w:rsidRPr="00961941">
        <w:rPr>
          <w:sz w:val="24"/>
          <w:szCs w:val="24"/>
          <w:lang w:val="hr-HR"/>
        </w:rPr>
        <w:t xml:space="preserve"> [2]</w:t>
      </w:r>
      <w:r w:rsidR="008705A8" w:rsidRPr="00961941">
        <w:rPr>
          <w:sz w:val="24"/>
          <w:szCs w:val="24"/>
          <w:lang w:val="hr-HR"/>
        </w:rPr>
        <w:t>.</w:t>
      </w:r>
    </w:p>
    <w:p w14:paraId="09446F53" w14:textId="77777777" w:rsidR="009F5DA5" w:rsidRPr="00961941" w:rsidRDefault="009F5DA5" w:rsidP="00382C91">
      <w:pPr>
        <w:jc w:val="both"/>
        <w:rPr>
          <w:lang w:val="hr-HR"/>
        </w:rPr>
      </w:pPr>
    </w:p>
    <w:p w14:paraId="216F85FE" w14:textId="77777777" w:rsidR="006265E4" w:rsidRPr="00961941" w:rsidRDefault="006265E4" w:rsidP="00382C91">
      <w:pPr>
        <w:jc w:val="both"/>
        <w:rPr>
          <w:lang w:val="hr-HR"/>
        </w:rPr>
      </w:pPr>
    </w:p>
    <w:p w14:paraId="4E7415A6" w14:textId="77777777" w:rsidR="008705A8" w:rsidRPr="00961941" w:rsidRDefault="001E0015" w:rsidP="003C25C0">
      <w:pPr>
        <w:pStyle w:val="Heading2"/>
        <w:tabs>
          <w:tab w:val="clear" w:pos="851"/>
          <w:tab w:val="num" w:pos="709"/>
        </w:tabs>
        <w:jc w:val="both"/>
      </w:pPr>
      <w:r w:rsidRPr="00961941">
        <w:t>{</w:t>
      </w:r>
      <w:r w:rsidRPr="00961941">
        <w:rPr>
          <w:b/>
        </w:rPr>
        <w:t>M</w:t>
      </w:r>
      <w:r w:rsidRPr="00961941">
        <w:t xml:space="preserve">} </w:t>
      </w:r>
      <w:r w:rsidR="00AD410B" w:rsidRPr="00961941">
        <w:t>V</w:t>
      </w:r>
      <w:r w:rsidR="009F5DA5" w:rsidRPr="00961941">
        <w:t xml:space="preserve">rijednost preslušavanja </w:t>
      </w:r>
      <w:r w:rsidR="008705A8" w:rsidRPr="00961941">
        <w:t xml:space="preserve">– usmjerenost </w:t>
      </w:r>
      <w:r w:rsidR="009F5DA5" w:rsidRPr="00961941">
        <w:t>(</w:t>
      </w:r>
      <w:proofErr w:type="spellStart"/>
      <w:r w:rsidR="008705A8" w:rsidRPr="00961941">
        <w:t>Directivity</w:t>
      </w:r>
      <w:proofErr w:type="spellEnd"/>
      <w:r w:rsidR="008705A8" w:rsidRPr="00961941">
        <w:t>) mora biti minimalno 55</w:t>
      </w:r>
      <w:r w:rsidR="009F5DA5" w:rsidRPr="00961941">
        <w:t xml:space="preserve"> dB</w:t>
      </w:r>
      <w:r w:rsidR="008705A8" w:rsidRPr="00961941">
        <w:t>.</w:t>
      </w:r>
    </w:p>
    <w:p w14:paraId="566F59DE" w14:textId="77777777" w:rsidR="005955A2" w:rsidRPr="00961941" w:rsidRDefault="005955A2" w:rsidP="00136766">
      <w:pPr>
        <w:rPr>
          <w:lang w:val="hr-HR"/>
        </w:rPr>
      </w:pPr>
    </w:p>
    <w:p w14:paraId="08D78E51" w14:textId="77777777" w:rsidR="00AD410B" w:rsidRPr="00961941" w:rsidRDefault="001E0015" w:rsidP="003C25C0">
      <w:pPr>
        <w:pStyle w:val="Heading2"/>
        <w:tabs>
          <w:tab w:val="clear" w:pos="851"/>
          <w:tab w:val="num" w:pos="709"/>
        </w:tabs>
      </w:pPr>
      <w:r w:rsidRPr="00961941">
        <w:t>{</w:t>
      </w:r>
      <w:r w:rsidRPr="00961941">
        <w:rPr>
          <w:b/>
        </w:rPr>
        <w:t>M</w:t>
      </w:r>
      <w:r w:rsidRPr="00961941">
        <w:t xml:space="preserve">} </w:t>
      </w:r>
      <w:r w:rsidR="00AD410B" w:rsidRPr="00961941">
        <w:t>Jednolikost razdiobe snage po izlazima</w:t>
      </w:r>
      <w:r w:rsidR="0001437E" w:rsidRPr="00961941">
        <w:t xml:space="preserve"> ( </w:t>
      </w:r>
      <w:proofErr w:type="spellStart"/>
      <w:r w:rsidR="0001437E" w:rsidRPr="00961941">
        <w:t>Uniformity</w:t>
      </w:r>
      <w:proofErr w:type="spellEnd"/>
      <w:r w:rsidR="0001437E" w:rsidRPr="00961941">
        <w:t>)</w:t>
      </w:r>
      <w:r w:rsidR="00C02B43" w:rsidRPr="00961941">
        <w:t>:</w:t>
      </w:r>
    </w:p>
    <w:p w14:paraId="507B65C8" w14:textId="77777777" w:rsidR="00C02B43" w:rsidRPr="00961941" w:rsidRDefault="00C02B43" w:rsidP="00136766">
      <w:pPr>
        <w:rPr>
          <w:lang w:val="hr-HR"/>
        </w:rPr>
      </w:pPr>
    </w:p>
    <w:p w14:paraId="28FC97E1" w14:textId="77777777" w:rsidR="006265E4" w:rsidRPr="00961941" w:rsidRDefault="006265E4" w:rsidP="00136766">
      <w:pPr>
        <w:rPr>
          <w:lang w:val="hr-HR"/>
        </w:rPr>
      </w:pPr>
    </w:p>
    <w:tbl>
      <w:tblPr>
        <w:tblW w:w="2880" w:type="dxa"/>
        <w:jc w:val="center"/>
        <w:tblLook w:val="0000" w:firstRow="0" w:lastRow="0" w:firstColumn="0" w:lastColumn="0" w:noHBand="0" w:noVBand="0"/>
      </w:tblPr>
      <w:tblGrid>
        <w:gridCol w:w="639"/>
        <w:gridCol w:w="1281"/>
        <w:gridCol w:w="960"/>
      </w:tblGrid>
      <w:tr w:rsidR="00961941" w:rsidRPr="00961941" w14:paraId="40993C4F" w14:textId="77777777">
        <w:trPr>
          <w:trHeight w:val="255"/>
          <w:jc w:val="center"/>
        </w:trPr>
        <w:tc>
          <w:tcPr>
            <w:tcW w:w="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4DA1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1:N</w:t>
            </w:r>
          </w:p>
        </w:tc>
        <w:tc>
          <w:tcPr>
            <w:tcW w:w="22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E10DA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Maksimalne vrijednosti (dB)</w:t>
            </w:r>
          </w:p>
        </w:tc>
      </w:tr>
      <w:tr w:rsidR="00961941" w:rsidRPr="00961941" w14:paraId="0103BA48" w14:textId="77777777">
        <w:trPr>
          <w:trHeight w:val="255"/>
          <w:jc w:val="center"/>
        </w:trPr>
        <w:tc>
          <w:tcPr>
            <w:tcW w:w="6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769E" w14:textId="77777777" w:rsidR="0099389A" w:rsidRPr="00961941" w:rsidRDefault="0099389A" w:rsidP="00136766">
            <w:pPr>
              <w:rPr>
                <w:lang w:val="hr-HR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7606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WR1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689DD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WR2</w:t>
            </w:r>
          </w:p>
        </w:tc>
      </w:tr>
      <w:tr w:rsidR="00961941" w:rsidRPr="00961941" w14:paraId="2F52D9EA" w14:textId="77777777">
        <w:trPr>
          <w:trHeight w:val="255"/>
          <w:jc w:val="center"/>
        </w:trPr>
        <w:tc>
          <w:tcPr>
            <w:tcW w:w="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0B37" w14:textId="77777777" w:rsidR="006248D9" w:rsidRPr="00961941" w:rsidRDefault="006248D9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0F328" w14:textId="77777777" w:rsidR="006248D9" w:rsidRPr="00961941" w:rsidRDefault="001C227B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1106" w14:textId="77777777" w:rsidR="006248D9" w:rsidRPr="00961941" w:rsidRDefault="001C227B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0,6</w:t>
            </w:r>
          </w:p>
        </w:tc>
      </w:tr>
      <w:tr w:rsidR="00961941" w:rsidRPr="00961941" w14:paraId="214E4BB0" w14:textId="77777777">
        <w:trPr>
          <w:trHeight w:val="255"/>
          <w:jc w:val="center"/>
        </w:trPr>
        <w:tc>
          <w:tcPr>
            <w:tcW w:w="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AB78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DCAE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E0FE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1,0</w:t>
            </w:r>
          </w:p>
        </w:tc>
      </w:tr>
      <w:tr w:rsidR="00961941" w:rsidRPr="00961941" w14:paraId="6662261F" w14:textId="77777777">
        <w:trPr>
          <w:trHeight w:val="255"/>
          <w:jc w:val="center"/>
        </w:trPr>
        <w:tc>
          <w:tcPr>
            <w:tcW w:w="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697E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D659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EA6C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1,3</w:t>
            </w:r>
          </w:p>
        </w:tc>
      </w:tr>
      <w:tr w:rsidR="00961941" w:rsidRPr="00961941" w14:paraId="3583B26B" w14:textId="77777777">
        <w:trPr>
          <w:trHeight w:val="255"/>
          <w:jc w:val="center"/>
        </w:trPr>
        <w:tc>
          <w:tcPr>
            <w:tcW w:w="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5AE3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9852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4642C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1,7</w:t>
            </w:r>
          </w:p>
        </w:tc>
      </w:tr>
      <w:tr w:rsidR="0099389A" w:rsidRPr="00961941" w14:paraId="0CA6D065" w14:textId="77777777">
        <w:trPr>
          <w:trHeight w:val="270"/>
          <w:jc w:val="center"/>
        </w:trPr>
        <w:tc>
          <w:tcPr>
            <w:tcW w:w="6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82D3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84DC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0CC34" w14:textId="77777777" w:rsidR="0099389A" w:rsidRPr="00961941" w:rsidRDefault="0099389A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2,4</w:t>
            </w:r>
          </w:p>
        </w:tc>
      </w:tr>
    </w:tbl>
    <w:p w14:paraId="76955C93" w14:textId="77777777" w:rsidR="00C02B43" w:rsidRPr="00961941" w:rsidRDefault="00C02B43" w:rsidP="00136766">
      <w:pPr>
        <w:rPr>
          <w:lang w:val="hr-HR"/>
        </w:rPr>
      </w:pPr>
    </w:p>
    <w:p w14:paraId="5B0D61D8" w14:textId="77777777" w:rsidR="009F5DA5" w:rsidRPr="00961941" w:rsidRDefault="009F5DA5" w:rsidP="00136766">
      <w:pPr>
        <w:rPr>
          <w:lang w:val="hr-HR"/>
        </w:rPr>
      </w:pPr>
    </w:p>
    <w:p w14:paraId="2B6F91C8" w14:textId="77777777" w:rsidR="009F5DA5" w:rsidRPr="00961941" w:rsidRDefault="001E0015" w:rsidP="003C25C0">
      <w:pPr>
        <w:pStyle w:val="Heading2"/>
        <w:tabs>
          <w:tab w:val="clear" w:pos="851"/>
          <w:tab w:val="num" w:pos="709"/>
        </w:tabs>
      </w:pPr>
      <w:r w:rsidRPr="00961941">
        <w:t>{</w:t>
      </w:r>
      <w:r w:rsidRPr="00961941">
        <w:rPr>
          <w:b/>
        </w:rPr>
        <w:t>M</w:t>
      </w:r>
      <w:r w:rsidRPr="00961941">
        <w:t xml:space="preserve">} </w:t>
      </w:r>
      <w:r w:rsidR="009F5DA5" w:rsidRPr="00961941">
        <w:t xml:space="preserve">Maksimalna dozvoljena vrijednost polarizacijske stabilnosti </w:t>
      </w:r>
      <w:r w:rsidR="0001437E" w:rsidRPr="00961941">
        <w:t xml:space="preserve">( PDL_ </w:t>
      </w:r>
      <w:proofErr w:type="spellStart"/>
      <w:r w:rsidR="0001437E" w:rsidRPr="00961941">
        <w:t>Polarisation</w:t>
      </w:r>
      <w:proofErr w:type="spellEnd"/>
      <w:r w:rsidR="0001437E" w:rsidRPr="00961941">
        <w:t xml:space="preserve"> </w:t>
      </w:r>
      <w:proofErr w:type="spellStart"/>
      <w:r w:rsidR="0001437E" w:rsidRPr="00961941">
        <w:t>Dependent</w:t>
      </w:r>
      <w:proofErr w:type="spellEnd"/>
      <w:r w:rsidR="0001437E" w:rsidRPr="00961941">
        <w:t xml:space="preserve"> </w:t>
      </w:r>
      <w:proofErr w:type="spellStart"/>
      <w:r w:rsidR="0001437E" w:rsidRPr="00961941">
        <w:t>Loss</w:t>
      </w:r>
      <w:proofErr w:type="spellEnd"/>
      <w:r w:rsidR="0001437E" w:rsidRPr="00961941">
        <w:t xml:space="preserve">) </w:t>
      </w:r>
      <w:r w:rsidR="009F5DA5" w:rsidRPr="00961941">
        <w:t xml:space="preserve">mora biti </w:t>
      </w:r>
      <w:r w:rsidR="00426133" w:rsidRPr="00961941">
        <w:t>:</w:t>
      </w:r>
    </w:p>
    <w:p w14:paraId="72387839" w14:textId="77777777" w:rsidR="00426133" w:rsidRPr="00961941" w:rsidRDefault="00426133" w:rsidP="00136766">
      <w:pPr>
        <w:rPr>
          <w:lang w:val="hr-HR"/>
        </w:rPr>
      </w:pPr>
    </w:p>
    <w:tbl>
      <w:tblPr>
        <w:tblW w:w="3017" w:type="dxa"/>
        <w:jc w:val="center"/>
        <w:tblLook w:val="0000" w:firstRow="0" w:lastRow="0" w:firstColumn="0" w:lastColumn="0" w:noHBand="0" w:noVBand="0"/>
      </w:tblPr>
      <w:tblGrid>
        <w:gridCol w:w="1247"/>
        <w:gridCol w:w="1770"/>
      </w:tblGrid>
      <w:tr w:rsidR="00961941" w:rsidRPr="00961941" w14:paraId="7EA86D5B" w14:textId="77777777">
        <w:trPr>
          <w:trHeight w:val="765"/>
          <w:jc w:val="center"/>
        </w:trPr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9295A" w14:textId="77777777" w:rsidR="00426133" w:rsidRPr="00961941" w:rsidRDefault="00426133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X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44B46" w14:textId="77777777" w:rsidR="00426133" w:rsidRPr="00961941" w:rsidRDefault="00426133" w:rsidP="00136766">
            <w:pPr>
              <w:rPr>
                <w:lang w:val="hr-HR"/>
              </w:rPr>
            </w:pPr>
            <w:r w:rsidRPr="00961941">
              <w:rPr>
                <w:lang w:val="hr-HR"/>
              </w:rPr>
              <w:t>Maksimalna</w:t>
            </w:r>
            <w:r w:rsidRPr="00961941">
              <w:rPr>
                <w:lang w:val="hr-HR"/>
              </w:rPr>
              <w:br/>
              <w:t>vrijednost</w:t>
            </w:r>
            <w:r w:rsidRPr="00961941">
              <w:rPr>
                <w:lang w:val="hr-HR"/>
              </w:rPr>
              <w:br/>
              <w:t>(dB)</w:t>
            </w:r>
          </w:p>
        </w:tc>
      </w:tr>
      <w:tr w:rsidR="00961941" w:rsidRPr="00961941" w14:paraId="12FA043E" w14:textId="77777777">
        <w:trPr>
          <w:trHeight w:val="255"/>
          <w:jc w:val="center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2D5A" w14:textId="77777777" w:rsidR="00EF5508" w:rsidRPr="00961941" w:rsidRDefault="00EF5508" w:rsidP="00DF49C5">
            <w:pPr>
              <w:rPr>
                <w:lang w:val="hr-HR"/>
              </w:rPr>
            </w:pPr>
            <w:r w:rsidRPr="00961941">
              <w:rPr>
                <w:lang w:val="hr-HR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70A1C0" w14:textId="77777777" w:rsidR="00EF5508" w:rsidRPr="00961941" w:rsidRDefault="00EF5508" w:rsidP="00DF49C5">
            <w:pPr>
              <w:rPr>
                <w:lang w:val="hr-HR"/>
              </w:rPr>
            </w:pPr>
            <w:r w:rsidRPr="00961941">
              <w:rPr>
                <w:lang w:val="hr-HR"/>
              </w:rPr>
              <w:t>0,20</w:t>
            </w:r>
          </w:p>
        </w:tc>
      </w:tr>
      <w:tr w:rsidR="00961941" w:rsidRPr="00961941" w14:paraId="0FF8F0A7" w14:textId="77777777">
        <w:trPr>
          <w:trHeight w:val="255"/>
          <w:jc w:val="center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6890" w14:textId="77777777" w:rsidR="00EF5508" w:rsidRPr="00961941" w:rsidRDefault="00EF5508" w:rsidP="00DF49C5">
            <w:pPr>
              <w:rPr>
                <w:lang w:val="hr-HR"/>
              </w:rPr>
            </w:pPr>
            <w:r w:rsidRPr="00961941">
              <w:rPr>
                <w:lang w:val="hr-HR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50BF8" w14:textId="77777777" w:rsidR="00EF5508" w:rsidRPr="00961941" w:rsidRDefault="00EF5508" w:rsidP="00DF49C5">
            <w:pPr>
              <w:rPr>
                <w:lang w:val="hr-HR"/>
              </w:rPr>
            </w:pPr>
            <w:r w:rsidRPr="00961941">
              <w:rPr>
                <w:lang w:val="hr-HR"/>
              </w:rPr>
              <w:t>0,20</w:t>
            </w:r>
          </w:p>
        </w:tc>
      </w:tr>
      <w:tr w:rsidR="00961941" w:rsidRPr="00961941" w14:paraId="2A9590CB" w14:textId="77777777">
        <w:trPr>
          <w:trHeight w:val="255"/>
          <w:jc w:val="center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FC0D" w14:textId="77777777" w:rsidR="00EF5508" w:rsidRPr="00961941" w:rsidRDefault="00EF5508" w:rsidP="00DF49C5">
            <w:pPr>
              <w:rPr>
                <w:lang w:val="hr-HR"/>
              </w:rPr>
            </w:pPr>
            <w:r w:rsidRPr="00961941">
              <w:rPr>
                <w:lang w:val="hr-HR"/>
              </w:rPr>
              <w:t>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66034" w14:textId="77777777" w:rsidR="00EF5508" w:rsidRPr="00961941" w:rsidRDefault="00EF5508" w:rsidP="00DF49C5">
            <w:pPr>
              <w:rPr>
                <w:lang w:val="hr-HR"/>
              </w:rPr>
            </w:pPr>
            <w:r w:rsidRPr="00961941">
              <w:rPr>
                <w:lang w:val="hr-HR"/>
              </w:rPr>
              <w:t>0,25</w:t>
            </w:r>
          </w:p>
        </w:tc>
      </w:tr>
      <w:tr w:rsidR="00961941" w:rsidRPr="00961941" w14:paraId="37EA5BE6" w14:textId="77777777">
        <w:trPr>
          <w:trHeight w:val="255"/>
          <w:jc w:val="center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96C9" w14:textId="77777777" w:rsidR="00EF5508" w:rsidRPr="00961941" w:rsidRDefault="00EF5508" w:rsidP="00DF49C5">
            <w:pPr>
              <w:rPr>
                <w:lang w:val="hr-HR"/>
              </w:rPr>
            </w:pPr>
            <w:r w:rsidRPr="00961941">
              <w:rPr>
                <w:lang w:val="hr-HR"/>
              </w:rPr>
              <w:t>16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56B19" w14:textId="77777777" w:rsidR="00EF5508" w:rsidRPr="00961941" w:rsidRDefault="00EF5508" w:rsidP="00DF49C5">
            <w:pPr>
              <w:rPr>
                <w:lang w:val="hr-HR"/>
              </w:rPr>
            </w:pPr>
            <w:r w:rsidRPr="00961941">
              <w:rPr>
                <w:lang w:val="hr-HR"/>
              </w:rPr>
              <w:t>0,30</w:t>
            </w:r>
          </w:p>
        </w:tc>
      </w:tr>
      <w:tr w:rsidR="00EF5508" w:rsidRPr="00961941" w14:paraId="3178C760" w14:textId="77777777">
        <w:trPr>
          <w:trHeight w:val="270"/>
          <w:jc w:val="center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5AC6" w14:textId="77777777" w:rsidR="00EF5508" w:rsidRPr="00961941" w:rsidRDefault="00EF5508" w:rsidP="00DF49C5">
            <w:pPr>
              <w:rPr>
                <w:lang w:val="hr-HR"/>
              </w:rPr>
            </w:pPr>
            <w:r w:rsidRPr="00961941">
              <w:rPr>
                <w:lang w:val="hr-HR"/>
              </w:rPr>
              <w:t>32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AB3E10" w14:textId="77777777" w:rsidR="00EF5508" w:rsidRPr="00961941" w:rsidRDefault="00EF5508" w:rsidP="00DF49C5">
            <w:pPr>
              <w:rPr>
                <w:lang w:val="hr-HR"/>
              </w:rPr>
            </w:pPr>
            <w:r w:rsidRPr="00961941">
              <w:rPr>
                <w:lang w:val="hr-HR"/>
              </w:rPr>
              <w:t>0,40</w:t>
            </w:r>
          </w:p>
        </w:tc>
      </w:tr>
    </w:tbl>
    <w:p w14:paraId="0185865F" w14:textId="77777777" w:rsidR="00426133" w:rsidRPr="00961941" w:rsidRDefault="00426133" w:rsidP="00136766">
      <w:pPr>
        <w:rPr>
          <w:lang w:val="hr-HR"/>
        </w:rPr>
      </w:pPr>
    </w:p>
    <w:p w14:paraId="7A808B7A" w14:textId="77777777" w:rsidR="009F5DA5" w:rsidRPr="00961941" w:rsidRDefault="009F5DA5" w:rsidP="00B52487">
      <w:pPr>
        <w:ind w:left="852"/>
        <w:jc w:val="both"/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lastRenderedPageBreak/>
        <w:t>Testiranje i mjerenje polarizacijske stabilnosti izvodi se u skladu sa IEC 61300-3-2</w:t>
      </w:r>
      <w:r w:rsidR="00426133" w:rsidRPr="00961941">
        <w:rPr>
          <w:sz w:val="24"/>
          <w:szCs w:val="24"/>
          <w:lang w:val="hr-HR"/>
        </w:rPr>
        <w:t>, IEC 61300-3-12</w:t>
      </w:r>
      <w:r w:rsidR="007A4833" w:rsidRPr="00961941">
        <w:rPr>
          <w:sz w:val="24"/>
          <w:szCs w:val="24"/>
          <w:lang w:val="hr-HR"/>
        </w:rPr>
        <w:t xml:space="preserve"> [2]</w:t>
      </w:r>
      <w:r w:rsidR="00426133" w:rsidRPr="00961941">
        <w:rPr>
          <w:sz w:val="24"/>
          <w:szCs w:val="24"/>
          <w:lang w:val="hr-HR"/>
        </w:rPr>
        <w:t>.</w:t>
      </w:r>
    </w:p>
    <w:p w14:paraId="3073C487" w14:textId="77777777" w:rsidR="006265E4" w:rsidRPr="00961941" w:rsidRDefault="006265E4" w:rsidP="00136766">
      <w:pPr>
        <w:rPr>
          <w:lang w:val="hr-HR"/>
        </w:rPr>
      </w:pPr>
    </w:p>
    <w:p w14:paraId="64474223" w14:textId="77777777" w:rsidR="007566C2" w:rsidRPr="00961941" w:rsidRDefault="007566C2" w:rsidP="00136766">
      <w:pPr>
        <w:rPr>
          <w:lang w:val="hr-HR"/>
        </w:rPr>
      </w:pPr>
    </w:p>
    <w:p w14:paraId="1CC1236A" w14:textId="77777777" w:rsidR="009260F4" w:rsidRPr="00961941" w:rsidRDefault="009260F4" w:rsidP="00136766">
      <w:pPr>
        <w:rPr>
          <w:lang w:val="hr-HR"/>
        </w:rPr>
      </w:pPr>
    </w:p>
    <w:p w14:paraId="38786629" w14:textId="77777777" w:rsidR="009F5DA5" w:rsidRPr="00961941" w:rsidRDefault="00F7463B" w:rsidP="00382C91">
      <w:pPr>
        <w:pStyle w:val="Heading1"/>
        <w:jc w:val="both"/>
        <w:rPr>
          <w:b/>
        </w:rPr>
      </w:pPr>
      <w:r w:rsidRPr="00961941">
        <w:rPr>
          <w:b/>
        </w:rPr>
        <w:t>IZVEDBE PLC-a</w:t>
      </w:r>
      <w:r w:rsidR="009F5DA5" w:rsidRPr="00961941">
        <w:rPr>
          <w:b/>
        </w:rPr>
        <w:t>, FIZIČKE DIMENZIJE I OZNAČAVANJE</w:t>
      </w:r>
    </w:p>
    <w:p w14:paraId="7DF405C3" w14:textId="77777777" w:rsidR="009F5DA5" w:rsidRPr="00961941" w:rsidRDefault="009F5DA5" w:rsidP="00382C91">
      <w:pPr>
        <w:jc w:val="both"/>
        <w:rPr>
          <w:lang w:val="hr-HR"/>
        </w:rPr>
      </w:pPr>
    </w:p>
    <w:p w14:paraId="158E0600" w14:textId="77777777" w:rsidR="00D7065B" w:rsidRPr="00961941" w:rsidRDefault="00D7065B" w:rsidP="00382C91">
      <w:pPr>
        <w:jc w:val="both"/>
        <w:rPr>
          <w:lang w:val="hr-HR"/>
        </w:rPr>
      </w:pPr>
    </w:p>
    <w:p w14:paraId="0488E0BB" w14:textId="77777777" w:rsidR="00002875" w:rsidRPr="00961941" w:rsidRDefault="003E5227" w:rsidP="00382C91">
      <w:pPr>
        <w:pStyle w:val="Heading2"/>
        <w:jc w:val="both"/>
        <w:rPr>
          <w:b/>
          <w:bCs/>
        </w:rPr>
      </w:pPr>
      <w:r w:rsidRPr="00961941">
        <w:rPr>
          <w:b/>
          <w:bCs/>
        </w:rPr>
        <w:t xml:space="preserve">NEKONEKTORIZIRANI </w:t>
      </w:r>
      <w:smartTag w:uri="urn:schemas-microsoft-com:office:smarttags" w:element="stockticker">
        <w:r w:rsidRPr="00961941">
          <w:rPr>
            <w:b/>
            <w:bCs/>
          </w:rPr>
          <w:t>PLC</w:t>
        </w:r>
      </w:smartTag>
    </w:p>
    <w:p w14:paraId="1222184A" w14:textId="77777777" w:rsidR="00A316CA" w:rsidRPr="00961941" w:rsidRDefault="00A316CA" w:rsidP="00A316CA">
      <w:pPr>
        <w:rPr>
          <w:lang w:val="hr-HR"/>
        </w:rPr>
      </w:pPr>
    </w:p>
    <w:p w14:paraId="410A84C2" w14:textId="77777777" w:rsidR="00957601" w:rsidRPr="00961941" w:rsidRDefault="00957601" w:rsidP="00A316CA">
      <w:pPr>
        <w:rPr>
          <w:lang w:val="hr-HR"/>
        </w:rPr>
      </w:pPr>
    </w:p>
    <w:p w14:paraId="4B93D0F4" w14:textId="77777777" w:rsidR="00B700D8" w:rsidRPr="00961941" w:rsidRDefault="00B700D8" w:rsidP="00B700D8">
      <w:pPr>
        <w:rPr>
          <w:lang w:val="hr-HR"/>
        </w:rPr>
      </w:pPr>
    </w:p>
    <w:p w14:paraId="00C40F9D" w14:textId="77777777" w:rsidR="00002875" w:rsidRPr="00961941" w:rsidRDefault="00B700D8" w:rsidP="00D7065B">
      <w:pPr>
        <w:pStyle w:val="Heading3"/>
        <w:ind w:hanging="1224"/>
        <w:jc w:val="both"/>
      </w:pPr>
      <w:r w:rsidRPr="00961941">
        <w:t>{</w:t>
      </w:r>
      <w:r w:rsidRPr="00961941">
        <w:rPr>
          <w:b/>
        </w:rPr>
        <w:t>I</w:t>
      </w:r>
      <w:r w:rsidRPr="00961941">
        <w:t>}</w:t>
      </w:r>
      <w:r w:rsidRPr="00961941">
        <w:tab/>
      </w:r>
      <w:smartTag w:uri="urn:schemas-microsoft-com:office:smarttags" w:element="stockticker">
        <w:r w:rsidRPr="00961941">
          <w:t>PLC</w:t>
        </w:r>
      </w:smartTag>
      <w:r w:rsidRPr="00961941">
        <w:t xml:space="preserve"> s vlaknom </w:t>
      </w:r>
      <w:r w:rsidR="007B6770" w:rsidRPr="00961941">
        <w:t xml:space="preserve">izvedenim prema standardu G 652 D </w:t>
      </w:r>
      <w:r w:rsidRPr="00961941">
        <w:t xml:space="preserve">koje ima primarnu zaštitu promjera 250 </w:t>
      </w:r>
      <w:proofErr w:type="spellStart"/>
      <w:r w:rsidRPr="00961941">
        <w:t>μm</w:t>
      </w:r>
      <w:proofErr w:type="spellEnd"/>
      <w:r w:rsidR="007B6770" w:rsidRPr="00961941">
        <w:t xml:space="preserve">, ili sekundarnu zaštitu 900 </w:t>
      </w:r>
      <w:proofErr w:type="spellStart"/>
      <w:r w:rsidR="007B6770" w:rsidRPr="00961941">
        <w:t>μm</w:t>
      </w:r>
      <w:proofErr w:type="spellEnd"/>
      <w:r w:rsidR="007B6770" w:rsidRPr="00961941">
        <w:t xml:space="preserve">  </w:t>
      </w:r>
      <w:r w:rsidRPr="00961941">
        <w:t xml:space="preserve"> i nije </w:t>
      </w:r>
      <w:proofErr w:type="spellStart"/>
      <w:r w:rsidRPr="00961941">
        <w:t>konektoriziran</w:t>
      </w:r>
      <w:proofErr w:type="spellEnd"/>
      <w:r w:rsidRPr="00961941">
        <w:t>.</w:t>
      </w:r>
    </w:p>
    <w:p w14:paraId="7C97ADE2" w14:textId="77777777" w:rsidR="00B700D8" w:rsidRPr="00961941" w:rsidRDefault="00B700D8" w:rsidP="00D7065B">
      <w:pPr>
        <w:jc w:val="both"/>
        <w:rPr>
          <w:lang w:val="hr-HR"/>
        </w:rPr>
      </w:pPr>
    </w:p>
    <w:p w14:paraId="61F6AB9D" w14:textId="77777777" w:rsidR="00002875" w:rsidRPr="00961941" w:rsidRDefault="00B700D8" w:rsidP="00D7065B">
      <w:pPr>
        <w:pStyle w:val="Heading3"/>
        <w:ind w:hanging="1224"/>
        <w:jc w:val="both"/>
      </w:pPr>
      <w:r w:rsidRPr="00961941">
        <w:t>{</w:t>
      </w:r>
      <w:r w:rsidR="0015709A" w:rsidRPr="00961941">
        <w:rPr>
          <w:b/>
        </w:rPr>
        <w:t>M</w:t>
      </w:r>
      <w:r w:rsidRPr="00961941">
        <w:t>}</w:t>
      </w:r>
      <w:r w:rsidRPr="00961941">
        <w:tab/>
        <w:t xml:space="preserve">Fizičke dimenzije </w:t>
      </w:r>
      <w:smartTag w:uri="urn:schemas-microsoft-com:office:smarttags" w:element="stockticker">
        <w:r w:rsidRPr="00961941">
          <w:t>PLC</w:t>
        </w:r>
      </w:smartTag>
      <w:r w:rsidRPr="00961941">
        <w:t xml:space="preserve"> komponenti razlikuju </w:t>
      </w:r>
      <w:r w:rsidR="00F50BCD" w:rsidRPr="00961941">
        <w:t xml:space="preserve">se </w:t>
      </w:r>
      <w:r w:rsidR="00A316CA" w:rsidRPr="00961941">
        <w:t xml:space="preserve">u </w:t>
      </w:r>
      <w:r w:rsidRPr="00961941">
        <w:t xml:space="preserve">načinu pakiranja i mjestu ugradnje. Dimenzije </w:t>
      </w:r>
      <w:proofErr w:type="spellStart"/>
      <w:r w:rsidR="00A316CA" w:rsidRPr="00961941">
        <w:t>sprežnika</w:t>
      </w:r>
      <w:proofErr w:type="spellEnd"/>
      <w:r w:rsidRPr="00961941">
        <w:t xml:space="preserve"> trebaju biti što manje kako bi zauzimale što manje prostora i trebaju biti prilagođene za ugradnju unutar kazeta u spojnicama i </w:t>
      </w:r>
      <w:r w:rsidR="00F361E7" w:rsidRPr="00961941">
        <w:t>izvodnim ormarima.</w:t>
      </w:r>
    </w:p>
    <w:p w14:paraId="4F229CCC" w14:textId="77777777" w:rsidR="00B700D8" w:rsidRPr="00961941" w:rsidRDefault="00B700D8" w:rsidP="00D7065B">
      <w:pPr>
        <w:jc w:val="both"/>
        <w:rPr>
          <w:lang w:val="hr-HR"/>
        </w:rPr>
      </w:pPr>
    </w:p>
    <w:p w14:paraId="7DE61420" w14:textId="77777777" w:rsidR="00002875" w:rsidRPr="00961941" w:rsidRDefault="00B700D8" w:rsidP="00D7065B">
      <w:pPr>
        <w:pStyle w:val="Heading3"/>
        <w:ind w:hanging="1224"/>
        <w:jc w:val="both"/>
      </w:pPr>
      <w:r w:rsidRPr="00961941">
        <w:t>{</w:t>
      </w:r>
      <w:r w:rsidR="004E7BA6" w:rsidRPr="00961941">
        <w:rPr>
          <w:b/>
        </w:rPr>
        <w:t>D</w:t>
      </w:r>
      <w:r w:rsidRPr="00961941">
        <w:t>}</w:t>
      </w:r>
      <w:r w:rsidRPr="00961941">
        <w:tab/>
        <w:t>U tehnič</w:t>
      </w:r>
      <w:r w:rsidRPr="00961941">
        <w:rPr>
          <w:rFonts w:cs="Times New (W1)"/>
        </w:rPr>
        <w:t>koj i drugoj dokumentaciji</w:t>
      </w:r>
      <w:r w:rsidR="00FD4AF5" w:rsidRPr="00961941">
        <w:rPr>
          <w:rFonts w:cs="Times New (W1)"/>
        </w:rPr>
        <w:t>,</w:t>
      </w:r>
      <w:r w:rsidRPr="00961941">
        <w:rPr>
          <w:rFonts w:cs="Times New (W1)"/>
        </w:rPr>
        <w:t xml:space="preserve"> </w:t>
      </w:r>
      <w:smartTag w:uri="urn:schemas-microsoft-com:office:smarttags" w:element="stockticker">
        <w:r w:rsidRPr="00961941">
          <w:t>PLC</w:t>
        </w:r>
      </w:smartTag>
      <w:r w:rsidRPr="00961941">
        <w:t xml:space="preserve"> komponente koje su izrađ</w:t>
      </w:r>
      <w:r w:rsidRPr="00961941">
        <w:rPr>
          <w:rFonts w:cs="Times New (W1)"/>
        </w:rPr>
        <w:t>ene prema ovim tehni</w:t>
      </w:r>
      <w:r w:rsidRPr="00961941">
        <w:t>č</w:t>
      </w:r>
      <w:r w:rsidRPr="00961941">
        <w:rPr>
          <w:rFonts w:cs="Times New (W1)"/>
        </w:rPr>
        <w:t>kim uvjetima ozna</w:t>
      </w:r>
      <w:r w:rsidRPr="00961941">
        <w:t>č</w:t>
      </w:r>
      <w:r w:rsidRPr="00961941">
        <w:rPr>
          <w:rFonts w:cs="Times New (W1)"/>
        </w:rPr>
        <w:t>avaju se u skladu s Prilog</w:t>
      </w:r>
      <w:r w:rsidRPr="00961941">
        <w:t xml:space="preserve">om </w:t>
      </w:r>
      <w:r w:rsidR="004E7BA6" w:rsidRPr="00961941">
        <w:t>1</w:t>
      </w:r>
      <w:r w:rsidRPr="00961941">
        <w:t xml:space="preserve"> ovih uvjeta.</w:t>
      </w:r>
    </w:p>
    <w:p w14:paraId="7E9EFD8B" w14:textId="77777777" w:rsidR="00B700D8" w:rsidRPr="00961941" w:rsidRDefault="00B700D8" w:rsidP="00B700D8">
      <w:pPr>
        <w:rPr>
          <w:lang w:val="hr-HR"/>
        </w:rPr>
      </w:pPr>
    </w:p>
    <w:p w14:paraId="3471A952" w14:textId="77777777" w:rsidR="00957601" w:rsidRPr="00961941" w:rsidRDefault="00957601" w:rsidP="00B700D8">
      <w:pPr>
        <w:rPr>
          <w:lang w:val="hr-HR"/>
        </w:rPr>
      </w:pPr>
    </w:p>
    <w:p w14:paraId="077970F4" w14:textId="77777777" w:rsidR="00AF09C9" w:rsidRPr="00961941" w:rsidRDefault="00AF09C9" w:rsidP="00B700D8">
      <w:pPr>
        <w:rPr>
          <w:lang w:val="hr-HR"/>
        </w:rPr>
      </w:pPr>
    </w:p>
    <w:p w14:paraId="58EF0307" w14:textId="77777777" w:rsidR="00002875" w:rsidRPr="00961941" w:rsidRDefault="003E5227" w:rsidP="00D7065B">
      <w:pPr>
        <w:pStyle w:val="Heading2"/>
        <w:jc w:val="both"/>
        <w:rPr>
          <w:b/>
          <w:bCs/>
        </w:rPr>
      </w:pPr>
      <w:r w:rsidRPr="00961941">
        <w:rPr>
          <w:b/>
          <w:bCs/>
        </w:rPr>
        <w:t xml:space="preserve">KONEKTORIZIRANI </w:t>
      </w:r>
      <w:smartTag w:uri="urn:schemas-microsoft-com:office:smarttags" w:element="stockticker">
        <w:r w:rsidRPr="00961941">
          <w:rPr>
            <w:b/>
            <w:bCs/>
          </w:rPr>
          <w:t>PLC</w:t>
        </w:r>
      </w:smartTag>
    </w:p>
    <w:p w14:paraId="6453FAD5" w14:textId="77777777" w:rsidR="00957601" w:rsidRPr="00961941" w:rsidRDefault="00957601" w:rsidP="00D7065B">
      <w:pPr>
        <w:jc w:val="both"/>
        <w:rPr>
          <w:lang w:val="hr-HR"/>
        </w:rPr>
      </w:pPr>
    </w:p>
    <w:p w14:paraId="04CAAEAD" w14:textId="77777777" w:rsidR="00A316CA" w:rsidRPr="00961941" w:rsidRDefault="00A316CA" w:rsidP="00D7065B">
      <w:pPr>
        <w:jc w:val="both"/>
        <w:rPr>
          <w:lang w:val="hr-HR"/>
        </w:rPr>
      </w:pPr>
    </w:p>
    <w:p w14:paraId="6E9BC889" w14:textId="77777777" w:rsidR="00002875" w:rsidRPr="00961941" w:rsidRDefault="00B700D8" w:rsidP="00D7065B">
      <w:pPr>
        <w:pStyle w:val="Heading3"/>
        <w:numPr>
          <w:ilvl w:val="2"/>
          <w:numId w:val="3"/>
        </w:numPr>
        <w:ind w:hanging="1224"/>
        <w:jc w:val="both"/>
      </w:pPr>
      <w:r w:rsidRPr="00961941">
        <w:t>{</w:t>
      </w:r>
      <w:r w:rsidRPr="00961941">
        <w:rPr>
          <w:b/>
        </w:rPr>
        <w:t>I</w:t>
      </w:r>
      <w:r w:rsidRPr="00961941">
        <w:t>}</w:t>
      </w:r>
      <w:r w:rsidRPr="00961941">
        <w:tab/>
      </w:r>
      <w:smartTag w:uri="urn:schemas-microsoft-com:office:smarttags" w:element="stockticker">
        <w:r w:rsidRPr="00961941">
          <w:t>PLC</w:t>
        </w:r>
      </w:smartTag>
      <w:r w:rsidRPr="00961941">
        <w:t xml:space="preserve"> s vlaknom koje ima sekundarnu</w:t>
      </w:r>
      <w:r w:rsidR="007344CA" w:rsidRPr="00961941">
        <w:t xml:space="preserve"> zaštitu promjera od 900 </w:t>
      </w:r>
      <w:proofErr w:type="spellStart"/>
      <w:r w:rsidR="007344CA" w:rsidRPr="00961941">
        <w:t>μm</w:t>
      </w:r>
      <w:proofErr w:type="spellEnd"/>
      <w:r w:rsidR="007344CA" w:rsidRPr="00961941">
        <w:t xml:space="preserve"> do 2,2</w:t>
      </w:r>
      <w:r w:rsidRPr="00961941">
        <w:t xml:space="preserve"> mm i ima konektore na krajevima.</w:t>
      </w:r>
    </w:p>
    <w:p w14:paraId="6969179E" w14:textId="77777777" w:rsidR="00A316CA" w:rsidRPr="00961941" w:rsidRDefault="00A316CA" w:rsidP="00D7065B">
      <w:pPr>
        <w:jc w:val="both"/>
        <w:rPr>
          <w:lang w:val="hr-HR"/>
        </w:rPr>
      </w:pPr>
    </w:p>
    <w:p w14:paraId="7FBBFF4E" w14:textId="77777777" w:rsidR="00A316CA" w:rsidRPr="00961941" w:rsidRDefault="00A316CA" w:rsidP="00C42FC4">
      <w:pPr>
        <w:pStyle w:val="Heading3"/>
        <w:numPr>
          <w:ilvl w:val="2"/>
          <w:numId w:val="3"/>
        </w:numPr>
        <w:ind w:hanging="1224"/>
        <w:jc w:val="both"/>
      </w:pPr>
      <w:r w:rsidRPr="00961941">
        <w:t>{</w:t>
      </w:r>
      <w:r w:rsidRPr="00961941">
        <w:rPr>
          <w:b/>
        </w:rPr>
        <w:t>M</w:t>
      </w:r>
      <w:r w:rsidRPr="00961941">
        <w:t>}</w:t>
      </w:r>
      <w:r w:rsidRPr="00961941">
        <w:tab/>
      </w:r>
      <w:proofErr w:type="spellStart"/>
      <w:r w:rsidR="00B700D8" w:rsidRPr="00961941">
        <w:t>Konektorizirani</w:t>
      </w:r>
      <w:proofErr w:type="spellEnd"/>
      <w:r w:rsidR="00B700D8" w:rsidRPr="00961941">
        <w:t xml:space="preserve"> </w:t>
      </w:r>
      <w:smartTag w:uri="urn:schemas-microsoft-com:office:smarttags" w:element="stockticker">
        <w:r w:rsidR="00B700D8" w:rsidRPr="00961941">
          <w:t>PLC</w:t>
        </w:r>
      </w:smartTag>
      <w:r w:rsidR="00B700D8" w:rsidRPr="00961941">
        <w:t xml:space="preserve"> mora imati LC konektore</w:t>
      </w:r>
      <w:r w:rsidR="004C15C5" w:rsidRPr="00961941">
        <w:t>.</w:t>
      </w:r>
    </w:p>
    <w:p w14:paraId="6A3E5DA7" w14:textId="77777777" w:rsidR="004C15C5" w:rsidRPr="00961941" w:rsidRDefault="004C15C5" w:rsidP="004C15C5">
      <w:pPr>
        <w:rPr>
          <w:lang w:val="hr-HR"/>
        </w:rPr>
      </w:pPr>
    </w:p>
    <w:p w14:paraId="759BB57E" w14:textId="77777777" w:rsidR="00002875" w:rsidRPr="00961941" w:rsidRDefault="00A316CA" w:rsidP="00D7065B">
      <w:pPr>
        <w:pStyle w:val="Heading3"/>
        <w:numPr>
          <w:ilvl w:val="2"/>
          <w:numId w:val="3"/>
        </w:numPr>
        <w:ind w:hanging="1224"/>
        <w:jc w:val="both"/>
      </w:pPr>
      <w:r w:rsidRPr="00961941">
        <w:t>{</w:t>
      </w:r>
      <w:r w:rsidRPr="00961941">
        <w:rPr>
          <w:b/>
        </w:rPr>
        <w:t>M</w:t>
      </w:r>
      <w:r w:rsidRPr="00961941">
        <w:t>}</w:t>
      </w:r>
      <w:r w:rsidRPr="00961941">
        <w:tab/>
      </w:r>
      <w:r w:rsidR="00B700D8" w:rsidRPr="00961941">
        <w:t xml:space="preserve">Obrada LC konektora mora biti </w:t>
      </w:r>
      <w:smartTag w:uri="urn:schemas-microsoft-com:office:smarttags" w:element="stockticker">
        <w:r w:rsidR="00B700D8" w:rsidRPr="00961941">
          <w:t>UPC</w:t>
        </w:r>
      </w:smartTag>
      <w:r w:rsidR="004C15C5" w:rsidRPr="00961941">
        <w:t xml:space="preserve"> ili APC, ovisno od mjesta primjene.</w:t>
      </w:r>
    </w:p>
    <w:p w14:paraId="718E9D34" w14:textId="77777777" w:rsidR="00A316CA" w:rsidRPr="00961941" w:rsidRDefault="00A316CA" w:rsidP="00D7065B">
      <w:pPr>
        <w:jc w:val="both"/>
        <w:rPr>
          <w:lang w:val="hr-HR"/>
        </w:rPr>
      </w:pPr>
    </w:p>
    <w:p w14:paraId="0731CC9B" w14:textId="77777777" w:rsidR="00002875" w:rsidRPr="00961941" w:rsidRDefault="00A316CA" w:rsidP="00D7065B">
      <w:pPr>
        <w:pStyle w:val="Heading3"/>
        <w:numPr>
          <w:ilvl w:val="2"/>
          <w:numId w:val="3"/>
        </w:numPr>
        <w:ind w:hanging="1224"/>
        <w:jc w:val="both"/>
      </w:pPr>
      <w:r w:rsidRPr="00961941">
        <w:t>{</w:t>
      </w:r>
      <w:r w:rsidR="009200B6" w:rsidRPr="00961941">
        <w:rPr>
          <w:b/>
        </w:rPr>
        <w:t>D</w:t>
      </w:r>
      <w:r w:rsidRPr="00961941">
        <w:t>}</w:t>
      </w:r>
      <w:r w:rsidRPr="00961941">
        <w:tab/>
        <w:t xml:space="preserve">Fizičke dimenzije </w:t>
      </w:r>
      <w:smartTag w:uri="urn:schemas-microsoft-com:office:smarttags" w:element="stockticker">
        <w:r w:rsidRPr="00961941">
          <w:t>PLC</w:t>
        </w:r>
      </w:smartTag>
      <w:r w:rsidRPr="00961941">
        <w:t xml:space="preserve"> komponenti razlikuju </w:t>
      </w:r>
      <w:r w:rsidR="00F50BCD" w:rsidRPr="00961941">
        <w:t xml:space="preserve">se u </w:t>
      </w:r>
      <w:r w:rsidRPr="00961941">
        <w:t xml:space="preserve">načinu pakiranja i mjestu ugradnje. Dimenzije </w:t>
      </w:r>
      <w:proofErr w:type="spellStart"/>
      <w:r w:rsidRPr="00961941">
        <w:t>sprežnika</w:t>
      </w:r>
      <w:proofErr w:type="spellEnd"/>
      <w:r w:rsidRPr="00961941">
        <w:t xml:space="preserve"> trebaju biti što manje kako bi zauzimale što manje prostora i trebaju biti prilagođene za ugradnju unutar izvodnih ormara.</w:t>
      </w:r>
    </w:p>
    <w:p w14:paraId="1C82FB67" w14:textId="77777777" w:rsidR="00A316CA" w:rsidRPr="00961941" w:rsidRDefault="00A316CA" w:rsidP="00D7065B">
      <w:pPr>
        <w:jc w:val="both"/>
        <w:rPr>
          <w:lang w:val="hr-HR"/>
        </w:rPr>
      </w:pPr>
    </w:p>
    <w:p w14:paraId="67F34E85" w14:textId="77777777" w:rsidR="00DB6C87" w:rsidRPr="00961941" w:rsidRDefault="00A316CA" w:rsidP="00D7065B">
      <w:pPr>
        <w:pStyle w:val="Heading3"/>
        <w:numPr>
          <w:ilvl w:val="2"/>
          <w:numId w:val="3"/>
        </w:numPr>
        <w:ind w:hanging="1224"/>
        <w:jc w:val="both"/>
      </w:pPr>
      <w:r w:rsidRPr="00961941">
        <w:t>{</w:t>
      </w:r>
      <w:r w:rsidR="00FD4AF5" w:rsidRPr="00961941">
        <w:rPr>
          <w:b/>
        </w:rPr>
        <w:t>D</w:t>
      </w:r>
      <w:r w:rsidRPr="00961941">
        <w:t>}</w:t>
      </w:r>
      <w:r w:rsidRPr="00961941">
        <w:tab/>
        <w:t>U tehnič</w:t>
      </w:r>
      <w:r w:rsidRPr="00961941">
        <w:rPr>
          <w:rFonts w:cs="Times New (W1)"/>
        </w:rPr>
        <w:t>koj i drugoj dokumentaciji</w:t>
      </w:r>
      <w:r w:rsidR="00FD4AF5" w:rsidRPr="00961941">
        <w:rPr>
          <w:rFonts w:cs="Times New (W1)"/>
        </w:rPr>
        <w:t>,</w:t>
      </w:r>
      <w:r w:rsidRPr="00961941">
        <w:rPr>
          <w:rFonts w:cs="Times New (W1)"/>
        </w:rPr>
        <w:t xml:space="preserve"> </w:t>
      </w:r>
      <w:smartTag w:uri="urn:schemas-microsoft-com:office:smarttags" w:element="stockticker">
        <w:r w:rsidRPr="00961941">
          <w:t>PLC</w:t>
        </w:r>
      </w:smartTag>
      <w:r w:rsidRPr="00961941">
        <w:t xml:space="preserve"> komponente koje su izrađ</w:t>
      </w:r>
      <w:r w:rsidRPr="00961941">
        <w:rPr>
          <w:rFonts w:cs="Times New (W1)"/>
        </w:rPr>
        <w:t>ene prema ovim tehni</w:t>
      </w:r>
      <w:r w:rsidRPr="00961941">
        <w:t>č</w:t>
      </w:r>
      <w:r w:rsidRPr="00961941">
        <w:rPr>
          <w:rFonts w:cs="Times New (W1)"/>
        </w:rPr>
        <w:t>kim uvjetima ozna</w:t>
      </w:r>
      <w:r w:rsidRPr="00961941">
        <w:t>č</w:t>
      </w:r>
      <w:r w:rsidRPr="00961941">
        <w:rPr>
          <w:rFonts w:cs="Times New (W1)"/>
        </w:rPr>
        <w:t>avaju se u skladu s Prilog</w:t>
      </w:r>
      <w:r w:rsidRPr="00961941">
        <w:t xml:space="preserve">om </w:t>
      </w:r>
      <w:r w:rsidR="00FD4AF5" w:rsidRPr="00961941">
        <w:t>1</w:t>
      </w:r>
      <w:r w:rsidRPr="00961941">
        <w:t xml:space="preserve"> ovih uvjeta.</w:t>
      </w:r>
    </w:p>
    <w:p w14:paraId="7C1835AE" w14:textId="77777777" w:rsidR="00A316CA" w:rsidRPr="00961941" w:rsidRDefault="00A316CA" w:rsidP="00D7065B">
      <w:pPr>
        <w:jc w:val="both"/>
        <w:rPr>
          <w:lang w:val="hr-HR"/>
        </w:rPr>
      </w:pPr>
    </w:p>
    <w:p w14:paraId="47D04D98" w14:textId="77777777" w:rsidR="00957601" w:rsidRPr="00961941" w:rsidRDefault="00957601" w:rsidP="00D7065B">
      <w:pPr>
        <w:jc w:val="both"/>
        <w:rPr>
          <w:lang w:val="hr-HR"/>
        </w:rPr>
      </w:pPr>
    </w:p>
    <w:p w14:paraId="1D3DA3F3" w14:textId="77777777" w:rsidR="00D7065B" w:rsidRPr="00961941" w:rsidRDefault="00D7065B" w:rsidP="00D7065B">
      <w:pPr>
        <w:jc w:val="both"/>
        <w:rPr>
          <w:lang w:val="hr-HR"/>
        </w:rPr>
      </w:pPr>
    </w:p>
    <w:p w14:paraId="60C7720C" w14:textId="77777777" w:rsidR="00002875" w:rsidRPr="00961941" w:rsidRDefault="003E5227" w:rsidP="00D7065B">
      <w:pPr>
        <w:pStyle w:val="Heading2"/>
        <w:jc w:val="both"/>
        <w:rPr>
          <w:b/>
          <w:bCs/>
        </w:rPr>
      </w:pPr>
      <w:smartTag w:uri="urn:schemas-microsoft-com:office:smarttags" w:element="stockticker">
        <w:r w:rsidRPr="00961941">
          <w:rPr>
            <w:b/>
            <w:bCs/>
          </w:rPr>
          <w:t>PLC</w:t>
        </w:r>
      </w:smartTag>
      <w:r w:rsidRPr="00961941">
        <w:rPr>
          <w:b/>
          <w:bCs/>
        </w:rPr>
        <w:t xml:space="preserve"> ZA UGRADNJU U ODF</w:t>
      </w:r>
      <w:r w:rsidR="004E7BA6" w:rsidRPr="00961941">
        <w:rPr>
          <w:b/>
          <w:bCs/>
        </w:rPr>
        <w:t xml:space="preserve"> DEMARKACIJSKE TOČKE</w:t>
      </w:r>
    </w:p>
    <w:p w14:paraId="5E6F2F38" w14:textId="77777777" w:rsidR="00185306" w:rsidRPr="00961941" w:rsidRDefault="00185306" w:rsidP="00D7065B">
      <w:pPr>
        <w:jc w:val="both"/>
        <w:rPr>
          <w:lang w:val="hr-HR"/>
        </w:rPr>
      </w:pPr>
    </w:p>
    <w:p w14:paraId="6A7350A8" w14:textId="77777777" w:rsidR="00A316CA" w:rsidRPr="00961941" w:rsidRDefault="00A316CA" w:rsidP="00D7065B">
      <w:pPr>
        <w:jc w:val="both"/>
        <w:rPr>
          <w:lang w:val="hr-HR"/>
        </w:rPr>
      </w:pPr>
    </w:p>
    <w:p w14:paraId="64EA2AA6" w14:textId="77777777" w:rsidR="00002875" w:rsidRPr="00961941" w:rsidRDefault="003E5227" w:rsidP="00D7065B">
      <w:pPr>
        <w:pStyle w:val="Heading3"/>
        <w:numPr>
          <w:ilvl w:val="2"/>
          <w:numId w:val="4"/>
        </w:numPr>
        <w:ind w:hanging="1224"/>
        <w:jc w:val="both"/>
      </w:pPr>
      <w:r w:rsidRPr="00961941">
        <w:t>{</w:t>
      </w:r>
      <w:r w:rsidRPr="00961941">
        <w:rPr>
          <w:b/>
        </w:rPr>
        <w:t>I</w:t>
      </w:r>
      <w:r w:rsidRPr="00961941">
        <w:t>}</w:t>
      </w:r>
      <w:r w:rsidRPr="00961941">
        <w:tab/>
      </w:r>
      <w:smartTag w:uri="urn:schemas-microsoft-com:office:smarttags" w:element="stockticker">
        <w:r w:rsidRPr="00961941">
          <w:t>PLC</w:t>
        </w:r>
      </w:smartTag>
      <w:r w:rsidR="009D7681" w:rsidRPr="00961941">
        <w:t xml:space="preserve"> </w:t>
      </w:r>
      <w:r w:rsidR="00197597" w:rsidRPr="00961941">
        <w:t>se obavezno ugrađuje</w:t>
      </w:r>
      <w:r w:rsidR="009D7681" w:rsidRPr="00961941">
        <w:t xml:space="preserve"> u </w:t>
      </w:r>
      <w:proofErr w:type="spellStart"/>
      <w:r w:rsidR="007344CA" w:rsidRPr="00961941">
        <w:t>pod</w:t>
      </w:r>
      <w:r w:rsidR="009D7681" w:rsidRPr="00961941">
        <w:t>modul</w:t>
      </w:r>
      <w:proofErr w:type="spellEnd"/>
      <w:r w:rsidR="009D7681" w:rsidRPr="00961941">
        <w:t xml:space="preserve"> (pločicu) koja se montira unutar odgovarajuće police</w:t>
      </w:r>
      <w:r w:rsidR="00197597" w:rsidRPr="00961941">
        <w:t>/modula</w:t>
      </w:r>
      <w:r w:rsidR="009D7681" w:rsidRPr="00961941">
        <w:t xml:space="preserve"> u stalku ODF-a</w:t>
      </w:r>
      <w:r w:rsidRPr="00961941">
        <w:t>.</w:t>
      </w:r>
    </w:p>
    <w:p w14:paraId="0673188C" w14:textId="77777777" w:rsidR="00F50BCD" w:rsidRPr="00961941" w:rsidRDefault="00F50BCD" w:rsidP="00F50BCD">
      <w:pPr>
        <w:rPr>
          <w:lang w:val="hr-HR"/>
        </w:rPr>
      </w:pPr>
    </w:p>
    <w:p w14:paraId="0881581A" w14:textId="77777777" w:rsidR="00F50BCD" w:rsidRPr="00961941" w:rsidRDefault="009D7681" w:rsidP="00304654">
      <w:pPr>
        <w:pStyle w:val="Heading3"/>
        <w:numPr>
          <w:ilvl w:val="2"/>
          <w:numId w:val="4"/>
        </w:numPr>
        <w:ind w:hanging="1224"/>
        <w:jc w:val="both"/>
      </w:pPr>
      <w:r w:rsidRPr="00961941">
        <w:t>{</w:t>
      </w:r>
      <w:r w:rsidRPr="00961941">
        <w:rPr>
          <w:b/>
        </w:rPr>
        <w:t>M</w:t>
      </w:r>
      <w:r w:rsidRPr="00961941">
        <w:t>}</w:t>
      </w:r>
      <w:r w:rsidRPr="00961941">
        <w:tab/>
      </w:r>
      <w:smartTag w:uri="urn:schemas-microsoft-com:office:smarttags" w:element="stockticker">
        <w:r w:rsidRPr="00961941">
          <w:t>PLC</w:t>
        </w:r>
      </w:smartTag>
      <w:r w:rsidR="00636FA5" w:rsidRPr="00961941">
        <w:t xml:space="preserve"> mora imati LC/LC adapte</w:t>
      </w:r>
      <w:r w:rsidRPr="00961941">
        <w:t>re</w:t>
      </w:r>
      <w:r w:rsidR="00FD4AF5" w:rsidRPr="00961941">
        <w:t>.</w:t>
      </w:r>
    </w:p>
    <w:p w14:paraId="651D9B7C" w14:textId="77777777" w:rsidR="00FD4AF5" w:rsidRPr="00961941" w:rsidRDefault="00FD4AF5" w:rsidP="00FD4AF5">
      <w:pPr>
        <w:rPr>
          <w:lang w:val="hr-HR"/>
        </w:rPr>
      </w:pPr>
    </w:p>
    <w:p w14:paraId="3BE2CD2C" w14:textId="77777777" w:rsidR="00002875" w:rsidRPr="00961941" w:rsidRDefault="00F50BCD" w:rsidP="00D7065B">
      <w:pPr>
        <w:pStyle w:val="Heading3"/>
        <w:numPr>
          <w:ilvl w:val="2"/>
          <w:numId w:val="4"/>
        </w:numPr>
        <w:ind w:hanging="1224"/>
        <w:jc w:val="both"/>
      </w:pPr>
      <w:r w:rsidRPr="00961941">
        <w:lastRenderedPageBreak/>
        <w:t>{</w:t>
      </w:r>
      <w:r w:rsidRPr="00961941">
        <w:rPr>
          <w:b/>
        </w:rPr>
        <w:t>M</w:t>
      </w:r>
      <w:r w:rsidRPr="00961941">
        <w:t>}</w:t>
      </w:r>
      <w:r w:rsidR="007344CA" w:rsidRPr="00961941">
        <w:tab/>
        <w:t xml:space="preserve">Obrada LC konektora mora biti </w:t>
      </w:r>
      <w:smartTag w:uri="urn:schemas-microsoft-com:office:smarttags" w:element="stockticker">
        <w:r w:rsidR="007344CA" w:rsidRPr="00961941">
          <w:t>A</w:t>
        </w:r>
        <w:r w:rsidRPr="00961941">
          <w:t>PC</w:t>
        </w:r>
      </w:smartTag>
      <w:r w:rsidR="00FD4AF5" w:rsidRPr="00961941">
        <w:t>.</w:t>
      </w:r>
    </w:p>
    <w:p w14:paraId="06E5E4C2" w14:textId="77777777" w:rsidR="00F50BCD" w:rsidRPr="00961941" w:rsidRDefault="00F50BCD" w:rsidP="00D7065B">
      <w:pPr>
        <w:jc w:val="both"/>
        <w:rPr>
          <w:lang w:val="hr-HR"/>
        </w:rPr>
      </w:pPr>
    </w:p>
    <w:p w14:paraId="3C859CCD" w14:textId="77777777" w:rsidR="00002875" w:rsidRPr="00961941" w:rsidRDefault="00F50BCD" w:rsidP="00D7065B">
      <w:pPr>
        <w:pStyle w:val="Heading3"/>
        <w:numPr>
          <w:ilvl w:val="2"/>
          <w:numId w:val="4"/>
        </w:numPr>
        <w:ind w:hanging="1224"/>
        <w:jc w:val="both"/>
      </w:pPr>
      <w:r w:rsidRPr="00961941">
        <w:t>{</w:t>
      </w:r>
      <w:r w:rsidR="009200B6" w:rsidRPr="00961941">
        <w:rPr>
          <w:b/>
        </w:rPr>
        <w:t>D</w:t>
      </w:r>
      <w:r w:rsidRPr="00961941">
        <w:t>}</w:t>
      </w:r>
      <w:r w:rsidRPr="00961941">
        <w:tab/>
        <w:t xml:space="preserve">Fizičke dimenzije </w:t>
      </w:r>
      <w:smartTag w:uri="urn:schemas-microsoft-com:office:smarttags" w:element="stockticker">
        <w:r w:rsidRPr="00961941">
          <w:t>PLC</w:t>
        </w:r>
      </w:smartTag>
      <w:r w:rsidRPr="00961941">
        <w:t xml:space="preserve"> modula trebaju biti prilagođene za ugradnju unutar police predviđene za ugradnju u stalak ODF-a koja je opisana u uvjetima broj: 085/07-1.2- COMT1.</w:t>
      </w:r>
    </w:p>
    <w:p w14:paraId="6CDD3265" w14:textId="77777777" w:rsidR="00A977E7" w:rsidRPr="00961941" w:rsidRDefault="00A977E7" w:rsidP="00A977E7">
      <w:pPr>
        <w:rPr>
          <w:lang w:val="hr-HR"/>
        </w:rPr>
      </w:pPr>
    </w:p>
    <w:p w14:paraId="7CE3494B" w14:textId="77777777" w:rsidR="00A977E7" w:rsidRPr="00961941" w:rsidRDefault="00A977E7" w:rsidP="00A977E7">
      <w:pPr>
        <w:pStyle w:val="Heading3"/>
        <w:numPr>
          <w:ilvl w:val="2"/>
          <w:numId w:val="4"/>
        </w:numPr>
        <w:ind w:left="1276" w:hanging="1276"/>
        <w:jc w:val="both"/>
      </w:pPr>
      <w:r w:rsidRPr="00961941">
        <w:t>{</w:t>
      </w:r>
      <w:r w:rsidRPr="00961941">
        <w:rPr>
          <w:b/>
        </w:rPr>
        <w:t>M</w:t>
      </w:r>
      <w:r w:rsidRPr="00961941">
        <w:t>}</w:t>
      </w:r>
      <w:r w:rsidRPr="00961941">
        <w:tab/>
        <w:t xml:space="preserve">Tehničke karakteristike </w:t>
      </w:r>
      <w:proofErr w:type="spellStart"/>
      <w:r w:rsidRPr="00961941">
        <w:t>sprežnika</w:t>
      </w:r>
      <w:proofErr w:type="spellEnd"/>
      <w:r w:rsidRPr="00961941">
        <w:t xml:space="preserve"> moraju biti u skladu sa točka 3, 4 i 5 ovih tehničkih uvjeta.</w:t>
      </w:r>
    </w:p>
    <w:p w14:paraId="367FC526" w14:textId="77777777" w:rsidR="00F50BCD" w:rsidRPr="00961941" w:rsidRDefault="00F50BCD" w:rsidP="00D7065B">
      <w:pPr>
        <w:jc w:val="both"/>
        <w:rPr>
          <w:lang w:val="hr-HR"/>
        </w:rPr>
      </w:pPr>
    </w:p>
    <w:p w14:paraId="5EBB02DE" w14:textId="77777777" w:rsidR="00DB6C87" w:rsidRPr="00961941" w:rsidRDefault="00F50BCD" w:rsidP="00D7065B">
      <w:pPr>
        <w:pStyle w:val="Heading3"/>
        <w:numPr>
          <w:ilvl w:val="2"/>
          <w:numId w:val="4"/>
        </w:numPr>
        <w:ind w:hanging="1224"/>
        <w:jc w:val="both"/>
      </w:pPr>
      <w:r w:rsidRPr="00961941">
        <w:t>{</w:t>
      </w:r>
      <w:r w:rsidR="00D06657" w:rsidRPr="00961941">
        <w:rPr>
          <w:b/>
        </w:rPr>
        <w:t>D</w:t>
      </w:r>
      <w:r w:rsidRPr="00961941">
        <w:t>}</w:t>
      </w:r>
      <w:r w:rsidRPr="00961941">
        <w:tab/>
        <w:t>U tehnič</w:t>
      </w:r>
      <w:r w:rsidRPr="00961941">
        <w:rPr>
          <w:rFonts w:cs="Times New (W1)"/>
        </w:rPr>
        <w:t>koj i drugoj dokumentaciji</w:t>
      </w:r>
      <w:r w:rsidR="00D06657" w:rsidRPr="00961941">
        <w:rPr>
          <w:rFonts w:cs="Times New (W1)"/>
        </w:rPr>
        <w:t xml:space="preserve">, </w:t>
      </w:r>
      <w:r w:rsidRPr="00961941">
        <w:t>PLC komponente koje su izrađ</w:t>
      </w:r>
      <w:r w:rsidRPr="00961941">
        <w:rPr>
          <w:rFonts w:cs="Times New (W1)"/>
        </w:rPr>
        <w:t>ene prema ovim tehni</w:t>
      </w:r>
      <w:r w:rsidRPr="00961941">
        <w:t>č</w:t>
      </w:r>
      <w:r w:rsidRPr="00961941">
        <w:rPr>
          <w:rFonts w:cs="Times New (W1)"/>
        </w:rPr>
        <w:t>kim uvjetima ozna</w:t>
      </w:r>
      <w:r w:rsidRPr="00961941">
        <w:t>č</w:t>
      </w:r>
      <w:r w:rsidRPr="00961941">
        <w:rPr>
          <w:rFonts w:cs="Times New (W1)"/>
        </w:rPr>
        <w:t>avaju se u skladu s Prilog</w:t>
      </w:r>
      <w:r w:rsidRPr="00961941">
        <w:t xml:space="preserve">om </w:t>
      </w:r>
      <w:r w:rsidR="00FD4AF5" w:rsidRPr="00961941">
        <w:t>1</w:t>
      </w:r>
      <w:r w:rsidRPr="00961941">
        <w:t xml:space="preserve"> ovih uvjeta.</w:t>
      </w:r>
    </w:p>
    <w:p w14:paraId="4769E41A" w14:textId="77777777" w:rsidR="009F5DA5" w:rsidRPr="00961941" w:rsidRDefault="009F5DA5" w:rsidP="00136766">
      <w:pPr>
        <w:rPr>
          <w:lang w:val="hr-HR"/>
        </w:rPr>
      </w:pPr>
    </w:p>
    <w:p w14:paraId="44609109" w14:textId="77777777" w:rsidR="00957601" w:rsidRPr="00961941" w:rsidRDefault="00957601" w:rsidP="00136766">
      <w:pPr>
        <w:rPr>
          <w:lang w:val="hr-HR"/>
        </w:rPr>
      </w:pPr>
    </w:p>
    <w:p w14:paraId="47A8ED12" w14:textId="77777777" w:rsidR="00185306" w:rsidRPr="00961941" w:rsidRDefault="00185306" w:rsidP="00136766">
      <w:pPr>
        <w:rPr>
          <w:lang w:val="hr-HR"/>
        </w:rPr>
      </w:pPr>
    </w:p>
    <w:p w14:paraId="369BAD79" w14:textId="77777777" w:rsidR="00185306" w:rsidRPr="00961941" w:rsidRDefault="00185306" w:rsidP="00185306">
      <w:pPr>
        <w:pStyle w:val="Heading2"/>
        <w:rPr>
          <w:b/>
          <w:bCs/>
        </w:rPr>
      </w:pPr>
      <w:smartTag w:uri="urn:schemas-microsoft-com:office:smarttags" w:element="stockticker">
        <w:r w:rsidRPr="00961941">
          <w:rPr>
            <w:b/>
            <w:bCs/>
          </w:rPr>
          <w:t>PLC</w:t>
        </w:r>
      </w:smartTag>
      <w:r w:rsidRPr="00961941">
        <w:rPr>
          <w:b/>
          <w:bCs/>
        </w:rPr>
        <w:t xml:space="preserve"> ZA UGRADNJU U </w:t>
      </w:r>
      <w:r w:rsidR="00957601" w:rsidRPr="00961941">
        <w:rPr>
          <w:b/>
          <w:bCs/>
        </w:rPr>
        <w:t xml:space="preserve">PODMODULE/ MODELE </w:t>
      </w:r>
      <w:r w:rsidRPr="00961941">
        <w:rPr>
          <w:b/>
          <w:bCs/>
        </w:rPr>
        <w:t>KABINET</w:t>
      </w:r>
      <w:r w:rsidR="00957601" w:rsidRPr="00961941">
        <w:rPr>
          <w:b/>
          <w:bCs/>
        </w:rPr>
        <w:t>A</w:t>
      </w:r>
      <w:r w:rsidR="004E7BA6" w:rsidRPr="00961941">
        <w:rPr>
          <w:b/>
          <w:bCs/>
        </w:rPr>
        <w:t xml:space="preserve"> </w:t>
      </w:r>
      <w:r w:rsidRPr="00961941">
        <w:rPr>
          <w:b/>
          <w:bCs/>
        </w:rPr>
        <w:t>DISTRIBUCIJSKOG ČVORA</w:t>
      </w:r>
    </w:p>
    <w:p w14:paraId="0D5ABDF2" w14:textId="77777777" w:rsidR="00185306" w:rsidRPr="00961941" w:rsidRDefault="00185306" w:rsidP="00185306">
      <w:pPr>
        <w:rPr>
          <w:lang w:val="hr-HR"/>
        </w:rPr>
      </w:pPr>
    </w:p>
    <w:p w14:paraId="6D35AF39" w14:textId="77777777" w:rsidR="00185306" w:rsidRPr="00961941" w:rsidRDefault="00185306" w:rsidP="00185306">
      <w:pPr>
        <w:rPr>
          <w:lang w:val="hr-HR"/>
        </w:rPr>
      </w:pPr>
    </w:p>
    <w:p w14:paraId="3F901465" w14:textId="77777777" w:rsidR="00185306" w:rsidRPr="00961941" w:rsidRDefault="00185306" w:rsidP="000E0CB4">
      <w:pPr>
        <w:pStyle w:val="Heading3"/>
        <w:numPr>
          <w:ilvl w:val="2"/>
          <w:numId w:val="5"/>
        </w:numPr>
        <w:ind w:hanging="1224"/>
        <w:jc w:val="both"/>
      </w:pPr>
      <w:r w:rsidRPr="00961941">
        <w:t>{</w:t>
      </w:r>
      <w:r w:rsidRPr="00961941">
        <w:rPr>
          <w:b/>
        </w:rPr>
        <w:t>I</w:t>
      </w:r>
      <w:r w:rsidRPr="00961941">
        <w:t>}</w:t>
      </w:r>
      <w:r w:rsidRPr="00961941">
        <w:tab/>
      </w:r>
      <w:r w:rsidR="00D7065B" w:rsidRPr="00961941">
        <w:t xml:space="preserve">Za potrebe izgradnje optičke distribucijske mreže koristi se </w:t>
      </w:r>
      <w:smartTag w:uri="urn:schemas-microsoft-com:office:smarttags" w:element="stockticker">
        <w:r w:rsidRPr="00961941">
          <w:t>PLC</w:t>
        </w:r>
      </w:smartTag>
      <w:r w:rsidRPr="00961941">
        <w:t xml:space="preserve"> u</w:t>
      </w:r>
      <w:r w:rsidR="00D7065B" w:rsidRPr="00961941">
        <w:t>građen</w:t>
      </w:r>
      <w:r w:rsidRPr="00961941">
        <w:t xml:space="preserve"> u </w:t>
      </w:r>
      <w:proofErr w:type="spellStart"/>
      <w:r w:rsidR="00D7065B" w:rsidRPr="00961941">
        <w:t>podmodul</w:t>
      </w:r>
      <w:proofErr w:type="spellEnd"/>
      <w:r w:rsidRPr="00961941">
        <w:t xml:space="preserve"> koja se montira unutar odgovarajuće police</w:t>
      </w:r>
      <w:r w:rsidR="00D7065B" w:rsidRPr="00961941">
        <w:t xml:space="preserve"> (modula) ili</w:t>
      </w:r>
      <w:r w:rsidR="00521AF3" w:rsidRPr="00961941">
        <w:t xml:space="preserve"> </w:t>
      </w:r>
      <w:r w:rsidR="00D7065B" w:rsidRPr="00961941">
        <w:t>PLC ugrađen u modul koji se ugrađuje</w:t>
      </w:r>
      <w:r w:rsidRPr="00961941">
        <w:t xml:space="preserve"> </w:t>
      </w:r>
      <w:r w:rsidR="00D7065B" w:rsidRPr="00961941">
        <w:t xml:space="preserve">direktno </w:t>
      </w:r>
      <w:r w:rsidRPr="00961941">
        <w:t xml:space="preserve">u stalku </w:t>
      </w:r>
      <w:r w:rsidR="00521AF3" w:rsidRPr="00961941">
        <w:t>kabineta distribucijskog čvora</w:t>
      </w:r>
      <w:r w:rsidR="00D7065B" w:rsidRPr="00961941">
        <w:t>.</w:t>
      </w:r>
    </w:p>
    <w:p w14:paraId="156B35BE" w14:textId="77777777" w:rsidR="00185306" w:rsidRPr="00961941" w:rsidRDefault="00185306" w:rsidP="00D7065B">
      <w:pPr>
        <w:jc w:val="both"/>
        <w:rPr>
          <w:lang w:val="hr-HR"/>
        </w:rPr>
      </w:pPr>
    </w:p>
    <w:p w14:paraId="4CF985B3" w14:textId="77777777" w:rsidR="00521AF3" w:rsidRPr="00961941" w:rsidRDefault="00185306" w:rsidP="007C538F">
      <w:pPr>
        <w:pStyle w:val="Heading3"/>
        <w:numPr>
          <w:ilvl w:val="2"/>
          <w:numId w:val="4"/>
        </w:numPr>
        <w:ind w:hanging="1224"/>
        <w:jc w:val="both"/>
      </w:pPr>
      <w:r w:rsidRPr="00961941">
        <w:t>{</w:t>
      </w:r>
      <w:r w:rsidRPr="00961941">
        <w:rPr>
          <w:b/>
        </w:rPr>
        <w:t>M</w:t>
      </w:r>
      <w:r w:rsidRPr="00961941">
        <w:t>}</w:t>
      </w:r>
      <w:r w:rsidRPr="00961941">
        <w:tab/>
      </w:r>
      <w:smartTag w:uri="urn:schemas-microsoft-com:office:smarttags" w:element="stockticker">
        <w:r w:rsidRPr="00961941">
          <w:t>PLC</w:t>
        </w:r>
      </w:smartTag>
      <w:r w:rsidR="005527A2" w:rsidRPr="00961941">
        <w:t xml:space="preserve"> </w:t>
      </w:r>
      <w:proofErr w:type="spellStart"/>
      <w:r w:rsidR="008E26D2" w:rsidRPr="00961941">
        <w:t>podmodul</w:t>
      </w:r>
      <w:proofErr w:type="spellEnd"/>
      <w:r w:rsidR="008E26D2" w:rsidRPr="00961941">
        <w:t xml:space="preserve">/modul </w:t>
      </w:r>
      <w:r w:rsidR="005527A2" w:rsidRPr="00961941">
        <w:t>mora imati LC/LC adapte</w:t>
      </w:r>
      <w:r w:rsidRPr="00961941">
        <w:t>re</w:t>
      </w:r>
      <w:r w:rsidR="008E26D2" w:rsidRPr="00961941">
        <w:t>.</w:t>
      </w:r>
    </w:p>
    <w:p w14:paraId="1B8B0F67" w14:textId="77777777" w:rsidR="008E26D2" w:rsidRPr="00961941" w:rsidRDefault="008E26D2" w:rsidP="008E26D2">
      <w:pPr>
        <w:rPr>
          <w:lang w:val="hr-HR"/>
        </w:rPr>
      </w:pPr>
    </w:p>
    <w:p w14:paraId="40DAA10F" w14:textId="77777777" w:rsidR="00521AF3" w:rsidRPr="00961941" w:rsidRDefault="00521AF3" w:rsidP="00D7065B">
      <w:pPr>
        <w:pStyle w:val="Heading3"/>
        <w:numPr>
          <w:ilvl w:val="2"/>
          <w:numId w:val="4"/>
        </w:numPr>
        <w:ind w:hanging="1224"/>
        <w:jc w:val="both"/>
      </w:pPr>
      <w:r w:rsidRPr="00961941">
        <w:t>{</w:t>
      </w:r>
      <w:r w:rsidRPr="00961941">
        <w:rPr>
          <w:b/>
        </w:rPr>
        <w:t>M</w:t>
      </w:r>
      <w:r w:rsidRPr="00961941">
        <w:t>}</w:t>
      </w:r>
      <w:r w:rsidRPr="00961941">
        <w:tab/>
      </w:r>
      <w:smartTag w:uri="urn:schemas-microsoft-com:office:smarttags" w:element="stockticker">
        <w:r w:rsidRPr="00961941">
          <w:t>PLC</w:t>
        </w:r>
      </w:smartTag>
      <w:r w:rsidRPr="00961941">
        <w:t xml:space="preserve"> </w:t>
      </w:r>
      <w:r w:rsidR="003F4660" w:rsidRPr="00961941">
        <w:t>adapte</w:t>
      </w:r>
      <w:r w:rsidRPr="00961941">
        <w:t xml:space="preserve">ri, moraju biti ugrađeni sa prednje strane </w:t>
      </w:r>
      <w:proofErr w:type="spellStart"/>
      <w:r w:rsidR="003F4660" w:rsidRPr="00961941">
        <w:t>podmodula</w:t>
      </w:r>
      <w:proofErr w:type="spellEnd"/>
      <w:r w:rsidR="00C80C91" w:rsidRPr="00961941">
        <w:t>/modula</w:t>
      </w:r>
      <w:r w:rsidR="003F4660" w:rsidRPr="00961941">
        <w:t xml:space="preserve"> kako bi bili dostupni</w:t>
      </w:r>
      <w:r w:rsidRPr="00961941">
        <w:t>.</w:t>
      </w:r>
    </w:p>
    <w:p w14:paraId="1E619099" w14:textId="77777777" w:rsidR="003F4660" w:rsidRPr="00961941" w:rsidRDefault="003F4660" w:rsidP="00D7065B">
      <w:pPr>
        <w:jc w:val="both"/>
        <w:rPr>
          <w:lang w:val="hr-HR"/>
        </w:rPr>
      </w:pPr>
    </w:p>
    <w:p w14:paraId="1FF4F063" w14:textId="77777777" w:rsidR="003F4660" w:rsidRPr="00961941" w:rsidRDefault="003F4660" w:rsidP="00D7065B">
      <w:pPr>
        <w:pStyle w:val="Heading3"/>
        <w:numPr>
          <w:ilvl w:val="2"/>
          <w:numId w:val="4"/>
        </w:numPr>
        <w:ind w:hanging="1224"/>
        <w:jc w:val="both"/>
      </w:pPr>
      <w:r w:rsidRPr="00961941">
        <w:t>{</w:t>
      </w:r>
      <w:r w:rsidRPr="00961941">
        <w:rPr>
          <w:b/>
        </w:rPr>
        <w:t>M</w:t>
      </w:r>
      <w:r w:rsidRPr="00961941">
        <w:t>}</w:t>
      </w:r>
      <w:r w:rsidRPr="00961941">
        <w:tab/>
        <w:t xml:space="preserve">Unutar </w:t>
      </w:r>
      <w:smartTag w:uri="urn:schemas-microsoft-com:office:smarttags" w:element="stockticker">
        <w:r w:rsidRPr="00961941">
          <w:t>PLC</w:t>
        </w:r>
      </w:smartTag>
      <w:r w:rsidR="00C80C91" w:rsidRPr="00961941">
        <w:t xml:space="preserve"> </w:t>
      </w:r>
      <w:proofErr w:type="spellStart"/>
      <w:r w:rsidR="00C80C91" w:rsidRPr="00961941">
        <w:t>podmodula</w:t>
      </w:r>
      <w:proofErr w:type="spellEnd"/>
      <w:r w:rsidR="00C80C91" w:rsidRPr="00961941">
        <w:t>/modula</w:t>
      </w:r>
      <w:r w:rsidRPr="00961941">
        <w:t xml:space="preserve">, moraju biti ugrađeni </w:t>
      </w:r>
      <w:proofErr w:type="spellStart"/>
      <w:r w:rsidRPr="00961941">
        <w:t>sprežnici</w:t>
      </w:r>
      <w:proofErr w:type="spellEnd"/>
      <w:r w:rsidRPr="00961941">
        <w:t xml:space="preserve"> sa omjerom dijeljenja </w:t>
      </w:r>
      <w:r w:rsidR="00C80C91" w:rsidRPr="00961941">
        <w:t xml:space="preserve">1:16 ili </w:t>
      </w:r>
      <w:r w:rsidRPr="00961941">
        <w:t>1:32</w:t>
      </w:r>
      <w:r w:rsidR="00C80C91" w:rsidRPr="00961941">
        <w:t xml:space="preserve"> ovisno o zahtjevu korisnika,</w:t>
      </w:r>
      <w:r w:rsidRPr="00961941">
        <w:t xml:space="preserve"> pri čemu ulazni i izla</w:t>
      </w:r>
      <w:r w:rsidR="00D7065B" w:rsidRPr="00961941">
        <w:t>zni portovi moraju biti jasno o</w:t>
      </w:r>
      <w:r w:rsidRPr="00961941">
        <w:t>značeni.</w:t>
      </w:r>
      <w:r w:rsidR="00D7065B" w:rsidRPr="00961941">
        <w:t xml:space="preserve">  </w:t>
      </w:r>
      <w:r w:rsidR="00D7065B" w:rsidRPr="00961941">
        <w:rPr>
          <w:b/>
        </w:rPr>
        <w:t xml:space="preserve"> </w:t>
      </w:r>
    </w:p>
    <w:p w14:paraId="12B6BF4A" w14:textId="77777777" w:rsidR="003F4660" w:rsidRPr="00961941" w:rsidRDefault="003F4660" w:rsidP="00D7065B">
      <w:pPr>
        <w:jc w:val="both"/>
        <w:rPr>
          <w:lang w:val="hr-HR"/>
        </w:rPr>
      </w:pPr>
    </w:p>
    <w:p w14:paraId="07D52BA4" w14:textId="77777777" w:rsidR="003F4660" w:rsidRPr="00961941" w:rsidRDefault="003F4660" w:rsidP="00D7065B">
      <w:pPr>
        <w:pStyle w:val="Heading3"/>
        <w:numPr>
          <w:ilvl w:val="2"/>
          <w:numId w:val="4"/>
        </w:numPr>
        <w:ind w:hanging="1224"/>
        <w:jc w:val="both"/>
      </w:pPr>
      <w:r w:rsidRPr="00961941">
        <w:t>{</w:t>
      </w:r>
      <w:r w:rsidRPr="00961941">
        <w:rPr>
          <w:b/>
        </w:rPr>
        <w:t>M</w:t>
      </w:r>
      <w:r w:rsidRPr="00961941">
        <w:t>}</w:t>
      </w:r>
      <w:r w:rsidRPr="00961941">
        <w:tab/>
        <w:t xml:space="preserve">Ugrađeni </w:t>
      </w:r>
      <w:proofErr w:type="spellStart"/>
      <w:r w:rsidRPr="00961941">
        <w:t>sprežnici</w:t>
      </w:r>
      <w:proofErr w:type="spellEnd"/>
      <w:r w:rsidRPr="00961941">
        <w:t xml:space="preserve"> moraju zadovoljavati sve naznačene tehničke karakteristike, definirane ovim uvjetima.</w:t>
      </w:r>
    </w:p>
    <w:p w14:paraId="17F7D712" w14:textId="77777777" w:rsidR="003F4660" w:rsidRPr="00961941" w:rsidRDefault="003F4660" w:rsidP="00D7065B">
      <w:pPr>
        <w:jc w:val="both"/>
        <w:rPr>
          <w:lang w:val="hr-HR"/>
        </w:rPr>
      </w:pPr>
    </w:p>
    <w:p w14:paraId="1A0292A0" w14:textId="77777777" w:rsidR="00185306" w:rsidRPr="00961941" w:rsidRDefault="00185306" w:rsidP="00FD715F">
      <w:pPr>
        <w:pStyle w:val="Heading3"/>
        <w:numPr>
          <w:ilvl w:val="2"/>
          <w:numId w:val="4"/>
        </w:numPr>
        <w:ind w:hanging="1224"/>
        <w:jc w:val="both"/>
      </w:pPr>
      <w:r w:rsidRPr="00961941">
        <w:t>{</w:t>
      </w:r>
      <w:r w:rsidRPr="00961941">
        <w:rPr>
          <w:b/>
        </w:rPr>
        <w:t>M</w:t>
      </w:r>
      <w:r w:rsidRPr="00961941">
        <w:t>}</w:t>
      </w:r>
      <w:r w:rsidRPr="00961941">
        <w:tab/>
        <w:t xml:space="preserve">Obrada LC konektora mora biti </w:t>
      </w:r>
      <w:r w:rsidR="00521AF3" w:rsidRPr="00961941">
        <w:t>U</w:t>
      </w:r>
      <w:r w:rsidRPr="00961941">
        <w:t>PC</w:t>
      </w:r>
      <w:r w:rsidR="00FD4AF5" w:rsidRPr="00961941">
        <w:t>.</w:t>
      </w:r>
    </w:p>
    <w:p w14:paraId="6FBFC9BB" w14:textId="77777777" w:rsidR="00FD4AF5" w:rsidRPr="00961941" w:rsidRDefault="00FD4AF5" w:rsidP="00FD4AF5">
      <w:pPr>
        <w:rPr>
          <w:lang w:val="hr-HR"/>
        </w:rPr>
      </w:pPr>
    </w:p>
    <w:p w14:paraId="2BAB0152" w14:textId="77777777" w:rsidR="00185306" w:rsidRPr="00961941" w:rsidRDefault="00185306" w:rsidP="00D7065B">
      <w:pPr>
        <w:pStyle w:val="Heading3"/>
        <w:numPr>
          <w:ilvl w:val="2"/>
          <w:numId w:val="4"/>
        </w:numPr>
        <w:ind w:hanging="1224"/>
        <w:jc w:val="both"/>
      </w:pPr>
      <w:r w:rsidRPr="00961941">
        <w:t>{</w:t>
      </w:r>
      <w:r w:rsidR="00521AF3" w:rsidRPr="00961941">
        <w:rPr>
          <w:b/>
        </w:rPr>
        <w:t>M</w:t>
      </w:r>
      <w:r w:rsidR="00C80C91" w:rsidRPr="00961941">
        <w:t>}</w:t>
      </w:r>
      <w:r w:rsidR="00C80C91" w:rsidRPr="00961941">
        <w:tab/>
        <w:t>D</w:t>
      </w:r>
      <w:r w:rsidRPr="00961941">
        <w:t xml:space="preserve">imenzije </w:t>
      </w:r>
      <w:smartTag w:uri="urn:schemas-microsoft-com:office:smarttags" w:element="stockticker">
        <w:r w:rsidRPr="00961941">
          <w:t>PLC</w:t>
        </w:r>
      </w:smartTag>
      <w:r w:rsidRPr="00961941">
        <w:t xml:space="preserve"> modula </w:t>
      </w:r>
      <w:r w:rsidR="00521AF3" w:rsidRPr="00961941">
        <w:t xml:space="preserve">sa ugrađenim </w:t>
      </w:r>
      <w:proofErr w:type="spellStart"/>
      <w:r w:rsidR="00521AF3" w:rsidRPr="00961941">
        <w:t>spliterom</w:t>
      </w:r>
      <w:proofErr w:type="spellEnd"/>
      <w:r w:rsidR="00521AF3" w:rsidRPr="00961941">
        <w:t xml:space="preserve">, ili više njih, </w:t>
      </w:r>
      <w:r w:rsidR="00D7065B" w:rsidRPr="00961941">
        <w:t>moraju</w:t>
      </w:r>
      <w:r w:rsidRPr="00961941">
        <w:t xml:space="preserve"> biti prilagođene za ugradnju unutar </w:t>
      </w:r>
      <w:r w:rsidR="00521AF3" w:rsidRPr="00961941">
        <w:t>kabineta distribucijskog čvora, uz ponudu dodatnih univerzalnih držača za ugradnju u standardni ''</w:t>
      </w:r>
      <w:proofErr w:type="spellStart"/>
      <w:r w:rsidR="00521AF3" w:rsidRPr="00961941">
        <w:t>rack</w:t>
      </w:r>
      <w:proofErr w:type="spellEnd"/>
      <w:r w:rsidR="00521AF3" w:rsidRPr="00961941">
        <w:t>''.</w:t>
      </w:r>
    </w:p>
    <w:p w14:paraId="5A5E8054" w14:textId="77777777" w:rsidR="003D25EE" w:rsidRPr="00961941" w:rsidRDefault="003D25EE" w:rsidP="003D25EE">
      <w:pPr>
        <w:rPr>
          <w:lang w:val="hr-HR"/>
        </w:rPr>
      </w:pPr>
    </w:p>
    <w:p w14:paraId="766DF2AD" w14:textId="77777777" w:rsidR="00185306" w:rsidRPr="00961941" w:rsidRDefault="00185306" w:rsidP="00D7065B">
      <w:pPr>
        <w:pStyle w:val="Heading3"/>
        <w:numPr>
          <w:ilvl w:val="2"/>
          <w:numId w:val="4"/>
        </w:numPr>
        <w:ind w:hanging="1224"/>
        <w:jc w:val="both"/>
      </w:pPr>
      <w:r w:rsidRPr="00961941">
        <w:t>{</w:t>
      </w:r>
      <w:r w:rsidR="00C80C91" w:rsidRPr="00961941">
        <w:rPr>
          <w:b/>
        </w:rPr>
        <w:t>D</w:t>
      </w:r>
      <w:r w:rsidRPr="00961941">
        <w:t>}</w:t>
      </w:r>
      <w:r w:rsidRPr="00961941">
        <w:tab/>
        <w:t>U tehnič</w:t>
      </w:r>
      <w:r w:rsidRPr="00961941">
        <w:rPr>
          <w:rFonts w:cs="Times New (W1)"/>
        </w:rPr>
        <w:t xml:space="preserve">koj i drugoj dokumentaciji i u narudžbama </w:t>
      </w:r>
      <w:smartTag w:uri="urn:schemas-microsoft-com:office:smarttags" w:element="stockticker">
        <w:r w:rsidRPr="00961941">
          <w:t>PLC</w:t>
        </w:r>
      </w:smartTag>
      <w:r w:rsidRPr="00961941">
        <w:t xml:space="preserve"> komponente koje su izrađ</w:t>
      </w:r>
      <w:r w:rsidRPr="00961941">
        <w:rPr>
          <w:rFonts w:cs="Times New (W1)"/>
        </w:rPr>
        <w:t>ene prema ovim tehni</w:t>
      </w:r>
      <w:r w:rsidRPr="00961941">
        <w:t>č</w:t>
      </w:r>
      <w:r w:rsidRPr="00961941">
        <w:rPr>
          <w:rFonts w:cs="Times New (W1)"/>
        </w:rPr>
        <w:t>kim uvjetima ozna</w:t>
      </w:r>
      <w:r w:rsidRPr="00961941">
        <w:t>č</w:t>
      </w:r>
      <w:r w:rsidRPr="00961941">
        <w:rPr>
          <w:rFonts w:cs="Times New (W1)"/>
        </w:rPr>
        <w:t>avaju se u skladu s Prilog</w:t>
      </w:r>
      <w:r w:rsidRPr="00961941">
        <w:t xml:space="preserve">om </w:t>
      </w:r>
      <w:r w:rsidR="00FD4AF5" w:rsidRPr="00961941">
        <w:t>1</w:t>
      </w:r>
      <w:r w:rsidRPr="00961941">
        <w:t xml:space="preserve"> ovih uvjeta.</w:t>
      </w:r>
    </w:p>
    <w:p w14:paraId="7303C0B8" w14:textId="77777777" w:rsidR="00C34FB2" w:rsidRPr="00961941" w:rsidRDefault="00C34FB2" w:rsidP="00136766">
      <w:pPr>
        <w:rPr>
          <w:lang w:val="hr-HR"/>
        </w:rPr>
      </w:pPr>
    </w:p>
    <w:p w14:paraId="72054601" w14:textId="77777777" w:rsidR="004902D1" w:rsidRPr="00961941" w:rsidRDefault="004902D1" w:rsidP="00136766">
      <w:pPr>
        <w:rPr>
          <w:lang w:val="hr-HR"/>
        </w:rPr>
      </w:pPr>
    </w:p>
    <w:p w14:paraId="4F5B9B9C" w14:textId="77777777" w:rsidR="003F4C4D" w:rsidRPr="00961941" w:rsidRDefault="003F4C4D" w:rsidP="00136766">
      <w:pPr>
        <w:rPr>
          <w:lang w:val="hr-HR"/>
        </w:rPr>
      </w:pPr>
    </w:p>
    <w:p w14:paraId="086D8445" w14:textId="77777777" w:rsidR="003F4C4D" w:rsidRPr="00961941" w:rsidRDefault="003F4C4D" w:rsidP="00136766">
      <w:pPr>
        <w:rPr>
          <w:lang w:val="hr-HR"/>
        </w:rPr>
      </w:pPr>
    </w:p>
    <w:p w14:paraId="6C780150" w14:textId="77777777" w:rsidR="003F4C4D" w:rsidRPr="00961941" w:rsidRDefault="003F4C4D" w:rsidP="00136766">
      <w:pPr>
        <w:rPr>
          <w:lang w:val="hr-HR"/>
        </w:rPr>
      </w:pPr>
    </w:p>
    <w:p w14:paraId="52D74762" w14:textId="77777777" w:rsidR="003F4C4D" w:rsidRPr="00961941" w:rsidRDefault="003F4C4D" w:rsidP="00136766">
      <w:pPr>
        <w:rPr>
          <w:lang w:val="hr-HR"/>
        </w:rPr>
      </w:pPr>
    </w:p>
    <w:p w14:paraId="27DA550B" w14:textId="77777777" w:rsidR="003F4C4D" w:rsidRPr="00961941" w:rsidRDefault="003F4C4D" w:rsidP="00136766">
      <w:pPr>
        <w:rPr>
          <w:lang w:val="hr-HR"/>
        </w:rPr>
      </w:pPr>
    </w:p>
    <w:p w14:paraId="7DFD43AF" w14:textId="77777777" w:rsidR="003F4C4D" w:rsidRPr="00961941" w:rsidRDefault="003F4C4D" w:rsidP="00136766">
      <w:pPr>
        <w:rPr>
          <w:lang w:val="hr-HR"/>
        </w:rPr>
      </w:pPr>
    </w:p>
    <w:p w14:paraId="781A95B8" w14:textId="77777777" w:rsidR="003F4C4D" w:rsidRPr="00961941" w:rsidRDefault="003F4C4D" w:rsidP="00136766">
      <w:pPr>
        <w:rPr>
          <w:lang w:val="hr-HR"/>
        </w:rPr>
      </w:pPr>
    </w:p>
    <w:p w14:paraId="2EEEAB81" w14:textId="77777777" w:rsidR="003F4C4D" w:rsidRPr="00961941" w:rsidRDefault="003F4C4D" w:rsidP="00136766">
      <w:pPr>
        <w:rPr>
          <w:lang w:val="hr-HR"/>
        </w:rPr>
      </w:pPr>
    </w:p>
    <w:p w14:paraId="153650DA" w14:textId="77777777" w:rsidR="003F4C4D" w:rsidRPr="00961941" w:rsidRDefault="003F4C4D" w:rsidP="00136766">
      <w:pPr>
        <w:rPr>
          <w:lang w:val="hr-HR"/>
        </w:rPr>
      </w:pPr>
    </w:p>
    <w:p w14:paraId="5FC87EA1" w14:textId="77777777" w:rsidR="00BC60C1" w:rsidRPr="00961941" w:rsidRDefault="00BC60C1" w:rsidP="00382C91">
      <w:pPr>
        <w:pStyle w:val="Header"/>
        <w:jc w:val="both"/>
        <w:rPr>
          <w:b/>
          <w:bCs/>
          <w:sz w:val="28"/>
          <w:szCs w:val="28"/>
          <w:lang w:val="hr-HR"/>
        </w:rPr>
      </w:pPr>
      <w:r w:rsidRPr="00961941">
        <w:rPr>
          <w:b/>
          <w:bCs/>
          <w:sz w:val="28"/>
          <w:szCs w:val="28"/>
          <w:lang w:val="hr-HR"/>
        </w:rPr>
        <w:t xml:space="preserve">PRILOG </w:t>
      </w:r>
      <w:r w:rsidR="0079459C" w:rsidRPr="00961941">
        <w:rPr>
          <w:b/>
          <w:bCs/>
          <w:sz w:val="28"/>
          <w:szCs w:val="28"/>
          <w:lang w:val="hr-HR"/>
        </w:rPr>
        <w:t>1</w:t>
      </w:r>
    </w:p>
    <w:p w14:paraId="29AED29D" w14:textId="77777777" w:rsidR="00BC60C1" w:rsidRPr="00961941" w:rsidRDefault="00BC60C1" w:rsidP="00382C91">
      <w:pPr>
        <w:pStyle w:val="Header"/>
        <w:jc w:val="both"/>
        <w:rPr>
          <w:lang w:val="hr-HR"/>
        </w:rPr>
      </w:pPr>
    </w:p>
    <w:p w14:paraId="32D288A2" w14:textId="77777777" w:rsidR="0034033B" w:rsidRPr="00961941" w:rsidRDefault="00801DE7" w:rsidP="00382C91">
      <w:pPr>
        <w:jc w:val="both"/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 xml:space="preserve">Označavanje </w:t>
      </w:r>
      <w:proofErr w:type="spellStart"/>
      <w:r w:rsidRPr="00961941">
        <w:rPr>
          <w:sz w:val="24"/>
          <w:szCs w:val="24"/>
          <w:lang w:val="hr-HR"/>
        </w:rPr>
        <w:t>sprežnika</w:t>
      </w:r>
      <w:proofErr w:type="spellEnd"/>
      <w:r w:rsidRPr="00961941">
        <w:rPr>
          <w:sz w:val="24"/>
          <w:szCs w:val="24"/>
          <w:lang w:val="hr-HR"/>
        </w:rPr>
        <w:t xml:space="preserve"> određeno je prema dolje prikazanoj shemi</w:t>
      </w:r>
      <w:r w:rsidR="0034033B" w:rsidRPr="00961941">
        <w:rPr>
          <w:sz w:val="24"/>
          <w:szCs w:val="24"/>
          <w:lang w:val="hr-HR"/>
        </w:rPr>
        <w:t xml:space="preserve"> Slika 1</w:t>
      </w:r>
      <w:r w:rsidRPr="00961941">
        <w:rPr>
          <w:sz w:val="24"/>
          <w:szCs w:val="24"/>
          <w:lang w:val="hr-HR"/>
        </w:rPr>
        <w:t>.</w:t>
      </w:r>
    </w:p>
    <w:p w14:paraId="51D08026" w14:textId="77777777" w:rsidR="00BC60C1" w:rsidRPr="00961941" w:rsidRDefault="0034033B" w:rsidP="00382C91">
      <w:pPr>
        <w:jc w:val="both"/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>O</w:t>
      </w:r>
      <w:r w:rsidR="00801DE7" w:rsidRPr="00961941">
        <w:rPr>
          <w:sz w:val="24"/>
          <w:szCs w:val="24"/>
          <w:lang w:val="hr-HR"/>
        </w:rPr>
        <w:t xml:space="preserve">značavanje izlaznih portova na </w:t>
      </w:r>
      <w:proofErr w:type="spellStart"/>
      <w:r w:rsidR="00801DE7" w:rsidRPr="00961941">
        <w:rPr>
          <w:sz w:val="24"/>
          <w:szCs w:val="24"/>
          <w:lang w:val="hr-HR"/>
        </w:rPr>
        <w:t>sprežniku</w:t>
      </w:r>
      <w:proofErr w:type="spellEnd"/>
      <w:r w:rsidR="00801DE7" w:rsidRPr="00961941">
        <w:rPr>
          <w:sz w:val="24"/>
          <w:szCs w:val="24"/>
          <w:lang w:val="hr-HR"/>
        </w:rPr>
        <w:t xml:space="preserve"> ovisi o vrsti vrpci. Ukoliko je </w:t>
      </w:r>
      <w:proofErr w:type="spellStart"/>
      <w:r w:rsidR="00801DE7" w:rsidRPr="00961941">
        <w:rPr>
          <w:sz w:val="24"/>
          <w:szCs w:val="24"/>
          <w:lang w:val="hr-HR"/>
        </w:rPr>
        <w:t>sprežnik</w:t>
      </w:r>
      <w:proofErr w:type="spellEnd"/>
      <w:r w:rsidR="00801DE7" w:rsidRPr="00961941">
        <w:rPr>
          <w:sz w:val="24"/>
          <w:szCs w:val="24"/>
          <w:lang w:val="hr-HR"/>
        </w:rPr>
        <w:t xml:space="preserve"> </w:t>
      </w:r>
      <w:proofErr w:type="spellStart"/>
      <w:r w:rsidR="00801DE7" w:rsidRPr="00961941">
        <w:rPr>
          <w:sz w:val="24"/>
          <w:szCs w:val="24"/>
          <w:lang w:val="hr-HR"/>
        </w:rPr>
        <w:t>nekonektoriziran</w:t>
      </w:r>
      <w:proofErr w:type="spellEnd"/>
      <w:r w:rsidR="00801DE7" w:rsidRPr="00961941">
        <w:rPr>
          <w:sz w:val="24"/>
          <w:szCs w:val="24"/>
          <w:lang w:val="hr-HR"/>
        </w:rPr>
        <w:t xml:space="preserve"> i izveden s nitima s primarnom ili sekundarnom zaštitom (250/900 </w:t>
      </w:r>
      <w:r w:rsidR="00801DE7" w:rsidRPr="00961941">
        <w:rPr>
          <w:sz w:val="24"/>
          <w:szCs w:val="24"/>
          <w:lang w:val="hr-HR"/>
        </w:rPr>
        <w:sym w:font="Symbol" w:char="F06D"/>
      </w:r>
      <w:r w:rsidR="00801DE7" w:rsidRPr="00961941">
        <w:rPr>
          <w:sz w:val="24"/>
          <w:szCs w:val="24"/>
          <w:lang w:val="hr-HR"/>
        </w:rPr>
        <w:t>m) za označavanje niti koristi se označavanj</w:t>
      </w:r>
      <w:r w:rsidRPr="00961941">
        <w:rPr>
          <w:sz w:val="24"/>
          <w:szCs w:val="24"/>
          <w:lang w:val="hr-HR"/>
        </w:rPr>
        <w:t xml:space="preserve">e bojom prema kodnoj shemi, preporuka </w:t>
      </w:r>
      <w:bookmarkStart w:id="2" w:name="OLE_LINK3"/>
      <w:bookmarkStart w:id="3" w:name="OLE_LINK4"/>
      <w:r w:rsidRPr="00961941">
        <w:rPr>
          <w:sz w:val="24"/>
          <w:szCs w:val="24"/>
          <w:lang w:val="hr-HR"/>
        </w:rPr>
        <w:t>IEC 60304</w:t>
      </w:r>
      <w:bookmarkEnd w:id="2"/>
      <w:bookmarkEnd w:id="3"/>
      <w:r w:rsidRPr="00961941">
        <w:rPr>
          <w:sz w:val="24"/>
          <w:szCs w:val="24"/>
          <w:lang w:val="hr-HR"/>
        </w:rPr>
        <w:t>, Tablica 1</w:t>
      </w:r>
      <w:r w:rsidR="00801DE7" w:rsidRPr="00961941">
        <w:rPr>
          <w:sz w:val="24"/>
          <w:szCs w:val="24"/>
          <w:lang w:val="hr-HR"/>
        </w:rPr>
        <w:t>.</w:t>
      </w:r>
      <w:r w:rsidR="00790267" w:rsidRPr="00961941">
        <w:rPr>
          <w:sz w:val="24"/>
          <w:szCs w:val="24"/>
          <w:lang w:val="hr-HR"/>
        </w:rPr>
        <w:t xml:space="preserve"> Kodiranje cjevčica može biti bojom s početnom (crvena) I smjernom (zelena), a ostale su bijele ili prozirne. Također je moguće sve </w:t>
      </w:r>
      <w:proofErr w:type="spellStart"/>
      <w:r w:rsidR="00790267" w:rsidRPr="00961941">
        <w:rPr>
          <w:sz w:val="24"/>
          <w:szCs w:val="24"/>
          <w:lang w:val="hr-HR"/>
        </w:rPr>
        <w:t>cijevčice</w:t>
      </w:r>
      <w:proofErr w:type="spellEnd"/>
      <w:r w:rsidR="00790267" w:rsidRPr="00961941">
        <w:rPr>
          <w:sz w:val="24"/>
          <w:szCs w:val="24"/>
          <w:lang w:val="hr-HR"/>
        </w:rPr>
        <w:t xml:space="preserve"> označiti različitom bojom.</w:t>
      </w:r>
    </w:p>
    <w:p w14:paraId="46D10EB7" w14:textId="77777777" w:rsidR="00790267" w:rsidRPr="00961941" w:rsidRDefault="00790267" w:rsidP="00382C91">
      <w:pPr>
        <w:jc w:val="both"/>
        <w:rPr>
          <w:sz w:val="24"/>
          <w:szCs w:val="24"/>
          <w:lang w:val="hr-HR"/>
        </w:rPr>
      </w:pPr>
    </w:p>
    <w:p w14:paraId="5D2E654F" w14:textId="77777777" w:rsidR="00801DE7" w:rsidRPr="00961941" w:rsidRDefault="00C25AD7" w:rsidP="00382C91">
      <w:pPr>
        <w:jc w:val="both"/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 xml:space="preserve">Ostale konstrukcije koriste sustav označavanja brojevima na tijelu </w:t>
      </w:r>
      <w:proofErr w:type="spellStart"/>
      <w:r w:rsidRPr="00961941">
        <w:rPr>
          <w:sz w:val="24"/>
          <w:szCs w:val="24"/>
          <w:lang w:val="hr-HR"/>
        </w:rPr>
        <w:t>sprežnika</w:t>
      </w:r>
      <w:proofErr w:type="spellEnd"/>
      <w:r w:rsidRPr="00961941">
        <w:rPr>
          <w:sz w:val="24"/>
          <w:szCs w:val="24"/>
          <w:lang w:val="hr-HR"/>
        </w:rPr>
        <w:t xml:space="preserve"> i na vrpcama (prsteni s </w:t>
      </w:r>
      <w:r w:rsidR="0034033B" w:rsidRPr="00961941">
        <w:rPr>
          <w:sz w:val="24"/>
          <w:szCs w:val="24"/>
          <w:lang w:val="hr-HR"/>
        </w:rPr>
        <w:t>b</w:t>
      </w:r>
      <w:r w:rsidRPr="00961941">
        <w:rPr>
          <w:sz w:val="24"/>
          <w:szCs w:val="24"/>
          <w:lang w:val="hr-HR"/>
        </w:rPr>
        <w:t>rojevima).</w:t>
      </w:r>
    </w:p>
    <w:p w14:paraId="57F177F1" w14:textId="77777777" w:rsidR="0034033B" w:rsidRPr="00961941" w:rsidRDefault="0034033B" w:rsidP="00C25AD7">
      <w:pPr>
        <w:rPr>
          <w:sz w:val="24"/>
          <w:szCs w:val="24"/>
          <w:lang w:val="hr-HR"/>
        </w:rPr>
      </w:pPr>
    </w:p>
    <w:p w14:paraId="65933622" w14:textId="77777777" w:rsidR="0034033B" w:rsidRPr="00961941" w:rsidRDefault="0034033B" w:rsidP="00C25AD7">
      <w:pPr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 xml:space="preserve">Tablica 1: Kodiranje </w:t>
      </w:r>
      <w:r w:rsidR="00790267" w:rsidRPr="00961941">
        <w:rPr>
          <w:sz w:val="24"/>
          <w:szCs w:val="24"/>
          <w:lang w:val="hr-HR"/>
        </w:rPr>
        <w:t xml:space="preserve">niti </w:t>
      </w:r>
      <w:r w:rsidRPr="00961941">
        <w:rPr>
          <w:sz w:val="24"/>
          <w:szCs w:val="24"/>
          <w:lang w:val="hr-HR"/>
        </w:rPr>
        <w:t>bojom</w:t>
      </w:r>
    </w:p>
    <w:p w14:paraId="5B90B188" w14:textId="77777777" w:rsidR="0034033B" w:rsidRPr="00961941" w:rsidRDefault="0034033B" w:rsidP="00C25AD7">
      <w:pPr>
        <w:rPr>
          <w:sz w:val="24"/>
          <w:szCs w:val="24"/>
          <w:lang w:val="hr-HR"/>
        </w:rPr>
      </w:pPr>
    </w:p>
    <w:p w14:paraId="58F79FEC" w14:textId="77777777" w:rsidR="0034033B" w:rsidRPr="00961941" w:rsidRDefault="0034033B" w:rsidP="00C25AD7">
      <w:pPr>
        <w:rPr>
          <w:sz w:val="24"/>
          <w:szCs w:val="24"/>
          <w:lang w:val="hr-HR"/>
        </w:rPr>
      </w:pPr>
      <w:r w:rsidRPr="00961941">
        <w:rPr>
          <w:lang w:val="hr-HR"/>
        </w:rPr>
        <w:object w:dxaOrig="2909" w:dyaOrig="4069" w14:anchorId="650AB7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2pt;height:203.4pt" o:ole="">
            <v:imagedata r:id="rId17" o:title=""/>
          </v:shape>
          <o:OLEObject Type="Embed" ProgID="Visio.Drawing.11" ShapeID="_x0000_i1025" DrawAspect="Content" ObjectID="_1668342536" r:id="rId18"/>
        </w:object>
      </w:r>
    </w:p>
    <w:p w14:paraId="4E422408" w14:textId="77777777" w:rsidR="0034033B" w:rsidRPr="00961941" w:rsidRDefault="0034033B" w:rsidP="00C25AD7">
      <w:pPr>
        <w:rPr>
          <w:sz w:val="24"/>
          <w:szCs w:val="24"/>
          <w:lang w:val="hr-HR"/>
        </w:rPr>
      </w:pPr>
    </w:p>
    <w:p w14:paraId="5A6D138E" w14:textId="77777777" w:rsidR="00801DE7" w:rsidRPr="00961941" w:rsidRDefault="00801DE7" w:rsidP="00C25AD7">
      <w:pPr>
        <w:rPr>
          <w:sz w:val="24"/>
          <w:szCs w:val="24"/>
          <w:lang w:val="hr-HR"/>
        </w:rPr>
      </w:pPr>
    </w:p>
    <w:p w14:paraId="259427D2" w14:textId="77777777" w:rsidR="0034033B" w:rsidRPr="00961941" w:rsidRDefault="00E461E5" w:rsidP="00C25AD7">
      <w:pPr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 xml:space="preserve">Primjer označavanja </w:t>
      </w:r>
      <w:proofErr w:type="spellStart"/>
      <w:r w:rsidRPr="00961941">
        <w:rPr>
          <w:sz w:val="24"/>
          <w:szCs w:val="24"/>
          <w:lang w:val="hr-HR"/>
        </w:rPr>
        <w:t>sprežnika</w:t>
      </w:r>
      <w:proofErr w:type="spellEnd"/>
      <w:r w:rsidRPr="00961941">
        <w:rPr>
          <w:sz w:val="24"/>
          <w:szCs w:val="24"/>
          <w:lang w:val="hr-HR"/>
        </w:rPr>
        <w:t>:</w:t>
      </w:r>
    </w:p>
    <w:p w14:paraId="3FC87915" w14:textId="77777777" w:rsidR="00E461E5" w:rsidRPr="00961941" w:rsidRDefault="00E461E5" w:rsidP="00C25AD7">
      <w:pPr>
        <w:rPr>
          <w:sz w:val="24"/>
          <w:szCs w:val="24"/>
          <w:lang w:val="hr-HR"/>
        </w:rPr>
      </w:pPr>
    </w:p>
    <w:p w14:paraId="08D9F3A6" w14:textId="77777777" w:rsidR="007F435C" w:rsidRPr="00961941" w:rsidRDefault="007F435C" w:rsidP="00C25AD7">
      <w:pPr>
        <w:rPr>
          <w:sz w:val="24"/>
          <w:szCs w:val="24"/>
          <w:lang w:val="hr-HR"/>
        </w:rPr>
      </w:pPr>
      <w:r w:rsidRPr="00961941">
        <w:rPr>
          <w:lang w:val="hr-HR"/>
        </w:rPr>
        <w:object w:dxaOrig="8654" w:dyaOrig="641" w14:anchorId="23D68821">
          <v:shape id="_x0000_i1026" type="#_x0000_t75" style="width:432.6pt;height:33pt" o:ole="">
            <v:imagedata r:id="rId19" o:title=""/>
          </v:shape>
          <o:OLEObject Type="Embed" ProgID="Visio.Drawing.11" ShapeID="_x0000_i1026" DrawAspect="Content" ObjectID="_1668342537" r:id="rId20"/>
        </w:object>
      </w:r>
    </w:p>
    <w:p w14:paraId="1095D519" w14:textId="77777777" w:rsidR="0034033B" w:rsidRPr="00961941" w:rsidRDefault="0034033B" w:rsidP="00C25AD7">
      <w:pPr>
        <w:rPr>
          <w:sz w:val="24"/>
          <w:szCs w:val="24"/>
          <w:lang w:val="hr-HR"/>
        </w:rPr>
      </w:pPr>
    </w:p>
    <w:p w14:paraId="5F1CE431" w14:textId="77777777" w:rsidR="0034033B" w:rsidRPr="00961941" w:rsidRDefault="00790267" w:rsidP="00C25AD7">
      <w:pPr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>R1</w:t>
      </w:r>
      <w:r w:rsidRPr="00961941">
        <w:rPr>
          <w:sz w:val="24"/>
          <w:szCs w:val="24"/>
          <w:lang w:val="hr-HR"/>
        </w:rPr>
        <w:tab/>
      </w:r>
      <w:r w:rsidR="008755EA" w:rsidRPr="00961941">
        <w:rPr>
          <w:sz w:val="24"/>
          <w:szCs w:val="24"/>
          <w:lang w:val="hr-HR"/>
        </w:rPr>
        <w:t>- frekventno radno područje – 1260-1360 / 1450-1600 nm</w:t>
      </w:r>
    </w:p>
    <w:p w14:paraId="726B09E8" w14:textId="77777777" w:rsidR="0034033B" w:rsidRPr="00961941" w:rsidRDefault="00790267" w:rsidP="00C25AD7">
      <w:pPr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>116</w:t>
      </w:r>
      <w:r w:rsidRPr="00961941">
        <w:rPr>
          <w:sz w:val="24"/>
          <w:szCs w:val="24"/>
          <w:lang w:val="hr-HR"/>
        </w:rPr>
        <w:tab/>
      </w:r>
      <w:r w:rsidR="008755EA" w:rsidRPr="00961941">
        <w:rPr>
          <w:sz w:val="24"/>
          <w:szCs w:val="24"/>
          <w:lang w:val="hr-HR"/>
        </w:rPr>
        <w:t>- omjer sprezanja</w:t>
      </w:r>
      <w:r w:rsidR="007F435C" w:rsidRPr="00961941">
        <w:rPr>
          <w:sz w:val="24"/>
          <w:szCs w:val="24"/>
          <w:lang w:val="hr-HR"/>
        </w:rPr>
        <w:t>- 1:16</w:t>
      </w:r>
    </w:p>
    <w:p w14:paraId="0F680EE2" w14:textId="77777777" w:rsidR="007F435C" w:rsidRPr="00961941" w:rsidRDefault="00790267" w:rsidP="00C25AD7">
      <w:pPr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>B</w:t>
      </w:r>
      <w:r w:rsidRPr="00961941">
        <w:rPr>
          <w:sz w:val="24"/>
          <w:szCs w:val="24"/>
          <w:lang w:val="hr-HR"/>
        </w:rPr>
        <w:tab/>
      </w:r>
      <w:r w:rsidRPr="00961941">
        <w:rPr>
          <w:sz w:val="24"/>
          <w:szCs w:val="24"/>
          <w:lang w:val="hr-HR"/>
        </w:rPr>
        <w:tab/>
      </w:r>
      <w:r w:rsidR="007F435C" w:rsidRPr="00961941">
        <w:rPr>
          <w:sz w:val="24"/>
          <w:szCs w:val="24"/>
          <w:lang w:val="hr-HR"/>
        </w:rPr>
        <w:t>- vrpce s primarnom zaštitom 250</w:t>
      </w:r>
      <w:r w:rsidR="007F435C" w:rsidRPr="00961941">
        <w:rPr>
          <w:sz w:val="24"/>
          <w:szCs w:val="24"/>
          <w:lang w:val="hr-HR"/>
        </w:rPr>
        <w:sym w:font="Symbol" w:char="F06D"/>
      </w:r>
      <w:r w:rsidR="007F435C" w:rsidRPr="00961941">
        <w:rPr>
          <w:sz w:val="24"/>
          <w:szCs w:val="24"/>
          <w:lang w:val="hr-HR"/>
        </w:rPr>
        <w:t>m</w:t>
      </w:r>
    </w:p>
    <w:p w14:paraId="260FA27C" w14:textId="77777777" w:rsidR="007F435C" w:rsidRPr="00961941" w:rsidRDefault="00790267" w:rsidP="00C25AD7">
      <w:pPr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>01</w:t>
      </w:r>
      <w:r w:rsidRPr="00961941">
        <w:rPr>
          <w:sz w:val="24"/>
          <w:szCs w:val="24"/>
          <w:lang w:val="hr-HR"/>
        </w:rPr>
        <w:tab/>
      </w:r>
      <w:r w:rsidRPr="00961941">
        <w:rPr>
          <w:sz w:val="24"/>
          <w:szCs w:val="24"/>
          <w:lang w:val="hr-HR"/>
        </w:rPr>
        <w:tab/>
      </w:r>
      <w:r w:rsidR="007F435C" w:rsidRPr="00961941">
        <w:rPr>
          <w:sz w:val="24"/>
          <w:szCs w:val="24"/>
          <w:lang w:val="hr-HR"/>
        </w:rPr>
        <w:t>- duljina vrpci 1 m</w:t>
      </w:r>
    </w:p>
    <w:p w14:paraId="40D9333B" w14:textId="77777777" w:rsidR="007F435C" w:rsidRPr="00961941" w:rsidRDefault="00790267" w:rsidP="00C25AD7">
      <w:pPr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>00</w:t>
      </w:r>
      <w:r w:rsidRPr="00961941">
        <w:rPr>
          <w:sz w:val="24"/>
          <w:szCs w:val="24"/>
          <w:lang w:val="hr-HR"/>
        </w:rPr>
        <w:tab/>
      </w:r>
      <w:r w:rsidRPr="00961941">
        <w:rPr>
          <w:sz w:val="24"/>
          <w:szCs w:val="24"/>
          <w:lang w:val="hr-HR"/>
        </w:rPr>
        <w:tab/>
      </w:r>
      <w:r w:rsidR="007F435C" w:rsidRPr="00961941">
        <w:rPr>
          <w:sz w:val="24"/>
          <w:szCs w:val="24"/>
          <w:lang w:val="hr-HR"/>
        </w:rPr>
        <w:t>- vrpce bez konektora na krajevima</w:t>
      </w:r>
    </w:p>
    <w:p w14:paraId="678F4383" w14:textId="77777777" w:rsidR="0034033B" w:rsidRPr="00961941" w:rsidRDefault="0034033B" w:rsidP="00C25AD7">
      <w:pPr>
        <w:rPr>
          <w:sz w:val="24"/>
          <w:szCs w:val="24"/>
          <w:lang w:val="hr-HR"/>
        </w:rPr>
      </w:pPr>
    </w:p>
    <w:p w14:paraId="7E1DD3B3" w14:textId="77777777" w:rsidR="0034033B" w:rsidRPr="00961941" w:rsidRDefault="0034033B" w:rsidP="00C25AD7">
      <w:pPr>
        <w:rPr>
          <w:sz w:val="24"/>
          <w:szCs w:val="24"/>
          <w:lang w:val="hr-HR"/>
        </w:rPr>
      </w:pPr>
    </w:p>
    <w:p w14:paraId="594F756F" w14:textId="77777777" w:rsidR="0034033B" w:rsidRPr="00961941" w:rsidRDefault="0034033B" w:rsidP="00C25AD7">
      <w:pPr>
        <w:rPr>
          <w:sz w:val="24"/>
          <w:szCs w:val="24"/>
          <w:lang w:val="hr-HR"/>
        </w:rPr>
      </w:pPr>
    </w:p>
    <w:p w14:paraId="58590375" w14:textId="77777777" w:rsidR="0034033B" w:rsidRPr="00961941" w:rsidRDefault="0034033B" w:rsidP="00C25AD7">
      <w:pPr>
        <w:rPr>
          <w:sz w:val="24"/>
          <w:szCs w:val="24"/>
          <w:lang w:val="hr-HR"/>
        </w:rPr>
      </w:pPr>
    </w:p>
    <w:p w14:paraId="69E67B10" w14:textId="77777777" w:rsidR="0034033B" w:rsidRPr="00961941" w:rsidRDefault="0034033B" w:rsidP="00C25AD7">
      <w:pPr>
        <w:rPr>
          <w:sz w:val="24"/>
          <w:szCs w:val="24"/>
          <w:lang w:val="hr-HR"/>
        </w:rPr>
      </w:pPr>
    </w:p>
    <w:p w14:paraId="4A0C13AA" w14:textId="77777777" w:rsidR="00B35811" w:rsidRPr="00961941" w:rsidRDefault="00B35811" w:rsidP="00C25AD7">
      <w:pPr>
        <w:rPr>
          <w:sz w:val="24"/>
          <w:szCs w:val="24"/>
          <w:lang w:val="hr-HR"/>
        </w:rPr>
      </w:pPr>
    </w:p>
    <w:p w14:paraId="4C5B4E74" w14:textId="77777777" w:rsidR="007566C2" w:rsidRPr="00961941" w:rsidRDefault="007566C2" w:rsidP="00C25AD7">
      <w:pPr>
        <w:rPr>
          <w:sz w:val="24"/>
          <w:szCs w:val="24"/>
          <w:lang w:val="hr-HR"/>
        </w:rPr>
      </w:pPr>
    </w:p>
    <w:p w14:paraId="65DD8EFB" w14:textId="77777777" w:rsidR="005955A2" w:rsidRPr="00961941" w:rsidRDefault="005955A2" w:rsidP="00C25AD7">
      <w:pPr>
        <w:rPr>
          <w:sz w:val="24"/>
          <w:szCs w:val="24"/>
          <w:lang w:val="hr-HR"/>
        </w:rPr>
      </w:pPr>
    </w:p>
    <w:p w14:paraId="7FC32106" w14:textId="77777777" w:rsidR="0034033B" w:rsidRPr="00961941" w:rsidRDefault="005955A2" w:rsidP="00C25AD7">
      <w:pPr>
        <w:rPr>
          <w:sz w:val="24"/>
          <w:szCs w:val="24"/>
          <w:lang w:val="hr-HR"/>
        </w:rPr>
      </w:pPr>
      <w:r w:rsidRPr="00961941">
        <w:rPr>
          <w:sz w:val="24"/>
          <w:szCs w:val="24"/>
          <w:lang w:val="hr-HR"/>
        </w:rPr>
        <w:t xml:space="preserve">Slika 1: </w:t>
      </w:r>
      <w:r w:rsidR="00625F4D" w:rsidRPr="00961941">
        <w:rPr>
          <w:sz w:val="24"/>
          <w:szCs w:val="24"/>
          <w:lang w:val="hr-HR"/>
        </w:rPr>
        <w:t>Primjer</w:t>
      </w:r>
      <w:r w:rsidRPr="00961941">
        <w:rPr>
          <w:sz w:val="24"/>
          <w:szCs w:val="24"/>
          <w:lang w:val="hr-HR"/>
        </w:rPr>
        <w:t xml:space="preserve"> označavanja </w:t>
      </w:r>
      <w:smartTag w:uri="urn:schemas-microsoft-com:office:smarttags" w:element="stockticker">
        <w:r w:rsidRPr="00961941">
          <w:rPr>
            <w:sz w:val="24"/>
            <w:szCs w:val="24"/>
            <w:lang w:val="hr-HR"/>
          </w:rPr>
          <w:t>PLC</w:t>
        </w:r>
      </w:smartTag>
      <w:r w:rsidRPr="00961941">
        <w:rPr>
          <w:sz w:val="24"/>
          <w:szCs w:val="24"/>
          <w:lang w:val="hr-HR"/>
        </w:rPr>
        <w:t xml:space="preserve"> </w:t>
      </w:r>
      <w:proofErr w:type="spellStart"/>
      <w:r w:rsidRPr="00961941">
        <w:rPr>
          <w:sz w:val="24"/>
          <w:szCs w:val="24"/>
          <w:lang w:val="hr-HR"/>
        </w:rPr>
        <w:t>sprežnika</w:t>
      </w:r>
      <w:proofErr w:type="spellEnd"/>
    </w:p>
    <w:p w14:paraId="7BD6EE51" w14:textId="77777777" w:rsidR="0034033B" w:rsidRPr="00961941" w:rsidRDefault="0034033B" w:rsidP="00C25AD7">
      <w:pPr>
        <w:rPr>
          <w:sz w:val="24"/>
          <w:szCs w:val="24"/>
          <w:lang w:val="hr-HR"/>
        </w:rPr>
      </w:pPr>
    </w:p>
    <w:p w14:paraId="7F81A577" w14:textId="77777777" w:rsidR="007F435C" w:rsidRPr="00961941" w:rsidRDefault="007F435C" w:rsidP="00C25AD7">
      <w:pPr>
        <w:rPr>
          <w:sz w:val="24"/>
          <w:szCs w:val="24"/>
          <w:lang w:val="hr-HR"/>
        </w:rPr>
      </w:pPr>
    </w:p>
    <w:p w14:paraId="45108DFE" w14:textId="77777777" w:rsidR="00FC09BB" w:rsidRPr="00961941" w:rsidRDefault="00575ED3" w:rsidP="007F435C">
      <w:r w:rsidRPr="00961941">
        <w:object w:dxaOrig="8748" w:dyaOrig="12220" w14:anchorId="4EC88BA6">
          <v:shape id="_x0000_i1027" type="#_x0000_t75" style="width:437.4pt;height:610.8pt" o:ole="">
            <v:imagedata r:id="rId21" o:title=""/>
          </v:shape>
          <o:OLEObject Type="Embed" ProgID="Visio.Drawing.11" ShapeID="_x0000_i1027" DrawAspect="Content" ObjectID="_1668342538" r:id="rId22"/>
        </w:object>
      </w:r>
    </w:p>
    <w:p w14:paraId="2BB5B2CE" w14:textId="272434DF" w:rsidR="0034033B" w:rsidRDefault="0034033B" w:rsidP="007F435C">
      <w:pPr>
        <w:rPr>
          <w:sz w:val="24"/>
          <w:szCs w:val="24"/>
          <w:lang w:val="hr-HR"/>
        </w:rPr>
      </w:pPr>
    </w:p>
    <w:p w14:paraId="330D228F" w14:textId="19F38FBC" w:rsidR="00FC09BB" w:rsidRDefault="00FC09BB" w:rsidP="007F435C">
      <w:pPr>
        <w:rPr>
          <w:sz w:val="24"/>
          <w:szCs w:val="24"/>
          <w:lang w:val="hr-HR"/>
        </w:rPr>
      </w:pPr>
    </w:p>
    <w:p w14:paraId="695C7B79" w14:textId="77777777" w:rsidR="00686D56" w:rsidRPr="00686D56" w:rsidRDefault="00686D56" w:rsidP="00686D56">
      <w:pPr>
        <w:rPr>
          <w:rFonts w:ascii="Arial" w:hAnsi="Arial" w:cs="Arial"/>
          <w:sz w:val="24"/>
          <w:szCs w:val="24"/>
          <w:lang w:val="hr-HR"/>
        </w:rPr>
      </w:pPr>
      <w:r w:rsidRPr="00686D56">
        <w:rPr>
          <w:rFonts w:ascii="Arial" w:hAnsi="Arial" w:cs="Arial"/>
          <w:sz w:val="24"/>
          <w:szCs w:val="24"/>
          <w:lang w:val="hr-HR"/>
        </w:rPr>
        <w:t>Za sve norme koje su navedene unutar ovog dokumenta tehničkih uvjeta dopušteno je koristiti i jednakovrijedna rješenja.</w:t>
      </w:r>
    </w:p>
    <w:p w14:paraId="2FDDD339" w14:textId="1BF9C446" w:rsidR="00FC09BB" w:rsidRDefault="00686D56" w:rsidP="00686D56">
      <w:pPr>
        <w:rPr>
          <w:sz w:val="24"/>
          <w:szCs w:val="24"/>
          <w:lang w:val="hr-HR"/>
        </w:rPr>
      </w:pPr>
      <w:r w:rsidRPr="00686D56">
        <w:rPr>
          <w:rFonts w:ascii="Arial" w:hAnsi="Arial" w:cs="Arial"/>
          <w:sz w:val="24"/>
          <w:szCs w:val="24"/>
          <w:lang w:val="hr-HR"/>
        </w:rPr>
        <w:t>Ukoliko je standard ili norma, naveden u HT tehničkim uvjetima, u međuvremenu doživio izmjenu ili dopunu, svaka novo-izdana norma ili standard slijednik je prethodne, navedene u tehničkim uvjetima HT-a i može se koristiti u procesu izvršenja ugovora o nabavi. U slučaju nejasnoća po pitanju implementacije pojedine norme ili standarda, svaki ponuditelj tijekom nadmetanja može zatražiti pojašnjenje, koje će se u tom slučaju proslijediti svim ponuditeljima na nadmetanju kao informacija.</w:t>
      </w:r>
      <w:bookmarkStart w:id="4" w:name="_GoBack"/>
      <w:bookmarkEnd w:id="4"/>
    </w:p>
    <w:p w14:paraId="64FBB3AD" w14:textId="2728EAC3" w:rsidR="00FC09BB" w:rsidRDefault="00FC09BB" w:rsidP="007F435C">
      <w:pPr>
        <w:rPr>
          <w:sz w:val="24"/>
          <w:szCs w:val="24"/>
          <w:lang w:val="hr-HR"/>
        </w:rPr>
      </w:pPr>
    </w:p>
    <w:p w14:paraId="67C2F86E" w14:textId="3DC179A4" w:rsidR="00FC09BB" w:rsidRDefault="00FC09BB" w:rsidP="007F435C">
      <w:pPr>
        <w:rPr>
          <w:sz w:val="24"/>
          <w:szCs w:val="24"/>
          <w:lang w:val="hr-HR"/>
        </w:rPr>
      </w:pPr>
    </w:p>
    <w:p w14:paraId="42644EB6" w14:textId="1D2C768F" w:rsidR="00FC09BB" w:rsidRDefault="00FC09BB" w:rsidP="007F435C">
      <w:pPr>
        <w:rPr>
          <w:sz w:val="24"/>
          <w:szCs w:val="24"/>
          <w:lang w:val="hr-HR"/>
        </w:rPr>
      </w:pPr>
    </w:p>
    <w:p w14:paraId="4DCD08A4" w14:textId="4DD15A5D" w:rsidR="00FC09BB" w:rsidRDefault="00FC09BB" w:rsidP="007F435C">
      <w:pPr>
        <w:rPr>
          <w:sz w:val="24"/>
          <w:szCs w:val="24"/>
          <w:lang w:val="hr-HR"/>
        </w:rPr>
      </w:pPr>
    </w:p>
    <w:p w14:paraId="73847301" w14:textId="3B3CE9AC" w:rsidR="00FC09BB" w:rsidRDefault="00FC09BB" w:rsidP="007F435C">
      <w:pPr>
        <w:rPr>
          <w:sz w:val="24"/>
          <w:szCs w:val="24"/>
          <w:lang w:val="hr-HR"/>
        </w:rPr>
      </w:pPr>
    </w:p>
    <w:p w14:paraId="2ADD2C26" w14:textId="01F37E48" w:rsidR="00FC09BB" w:rsidRDefault="00FC09BB" w:rsidP="007F435C">
      <w:pPr>
        <w:rPr>
          <w:sz w:val="24"/>
          <w:szCs w:val="24"/>
          <w:lang w:val="hr-HR"/>
        </w:rPr>
      </w:pPr>
    </w:p>
    <w:p w14:paraId="754046C7" w14:textId="3DE82A18" w:rsidR="00FC09BB" w:rsidRDefault="00FC09BB" w:rsidP="007F435C">
      <w:pPr>
        <w:rPr>
          <w:sz w:val="24"/>
          <w:szCs w:val="24"/>
          <w:lang w:val="hr-HR"/>
        </w:rPr>
      </w:pPr>
    </w:p>
    <w:p w14:paraId="0EA3B78F" w14:textId="39C59E73" w:rsidR="00FC09BB" w:rsidRDefault="00FC09BB" w:rsidP="007F435C">
      <w:pPr>
        <w:rPr>
          <w:sz w:val="24"/>
          <w:szCs w:val="24"/>
          <w:lang w:val="hr-HR"/>
        </w:rPr>
      </w:pPr>
    </w:p>
    <w:p w14:paraId="6D5C6FC6" w14:textId="0E390282" w:rsidR="00FC09BB" w:rsidRDefault="00FC09BB" w:rsidP="007F435C">
      <w:pPr>
        <w:rPr>
          <w:sz w:val="24"/>
          <w:szCs w:val="24"/>
          <w:lang w:val="hr-HR"/>
        </w:rPr>
      </w:pPr>
    </w:p>
    <w:p w14:paraId="3C21E734" w14:textId="7BAF95A5" w:rsidR="00FC09BB" w:rsidRDefault="00FC09BB" w:rsidP="007F435C">
      <w:pPr>
        <w:rPr>
          <w:sz w:val="24"/>
          <w:szCs w:val="24"/>
          <w:lang w:val="hr-HR"/>
        </w:rPr>
      </w:pPr>
    </w:p>
    <w:p w14:paraId="1A0CE064" w14:textId="7B092322" w:rsidR="00FC09BB" w:rsidRDefault="00FC09BB" w:rsidP="007F435C">
      <w:pPr>
        <w:rPr>
          <w:sz w:val="24"/>
          <w:szCs w:val="24"/>
          <w:lang w:val="hr-HR"/>
        </w:rPr>
      </w:pPr>
    </w:p>
    <w:p w14:paraId="2895C225" w14:textId="77777777" w:rsidR="00FC09BB" w:rsidRPr="00961941" w:rsidRDefault="00FC09BB" w:rsidP="007F435C">
      <w:pPr>
        <w:rPr>
          <w:sz w:val="24"/>
          <w:szCs w:val="24"/>
          <w:lang w:val="hr-HR"/>
        </w:rPr>
      </w:pPr>
    </w:p>
    <w:sectPr w:rsidR="00FC09BB" w:rsidRPr="00961941" w:rsidSect="0099305C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843" w:right="1134" w:bottom="1276" w:left="1797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BD97F" w14:textId="77777777" w:rsidR="00B167C1" w:rsidRDefault="00B167C1">
      <w:r>
        <w:separator/>
      </w:r>
    </w:p>
  </w:endnote>
  <w:endnote w:type="continuationSeparator" w:id="0">
    <w:p w14:paraId="61D39FAC" w14:textId="77777777" w:rsidR="00B167C1" w:rsidRDefault="00B16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chetBook">
    <w:panose1 w:val="020F0503030404040204"/>
    <w:charset w:val="EE"/>
    <w:family w:val="swiss"/>
    <w:pitch w:val="variable"/>
    <w:sig w:usb0="0000000F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6D23D" w14:textId="77777777" w:rsidR="00A16220" w:rsidRDefault="00A162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FB7F4" w14:textId="77777777" w:rsidR="002A0A64" w:rsidRDefault="002A0A64">
    <w:pPr>
      <w:pStyle w:val="Footer"/>
      <w:jc w:val="center"/>
      <w:rPr>
        <w:lang w:val="hr-H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F5C4D" w14:textId="77777777" w:rsidR="00A16220" w:rsidRDefault="00A1622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340AA" w14:textId="77777777" w:rsidR="002A0A64" w:rsidRDefault="002A0A64">
    <w:pPr>
      <w:pStyle w:val="Footer"/>
      <w:pBdr>
        <w:top w:val="single" w:sz="4" w:space="1" w:color="auto"/>
      </w:pBdr>
      <w:jc w:val="center"/>
      <w:rPr>
        <w:rFonts w:ascii="Arial" w:hAnsi="Arial" w:cs="Arial"/>
        <w:lang w:val="hr-HR"/>
      </w:rPr>
    </w:pPr>
    <w:r>
      <w:rPr>
        <w:rFonts w:ascii="Arial" w:hAnsi="Arial" w:cs="Arial"/>
        <w:lang w:val="hr-HR"/>
      </w:rPr>
      <w:t xml:space="preserve">str. </w:t>
    </w: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</w:t>
    </w:r>
  </w:p>
  <w:p w14:paraId="19E49A0B" w14:textId="77777777" w:rsidR="002A0A64" w:rsidRDefault="002A0A64">
    <w:pPr>
      <w:pStyle w:val="Footer"/>
      <w:jc w:val="center"/>
      <w:rPr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1971A" w14:textId="77777777" w:rsidR="00B167C1" w:rsidRDefault="00B167C1">
      <w:r>
        <w:separator/>
      </w:r>
    </w:p>
  </w:footnote>
  <w:footnote w:type="continuationSeparator" w:id="0">
    <w:p w14:paraId="0CFE9737" w14:textId="77777777" w:rsidR="00B167C1" w:rsidRDefault="00B16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D46EA" w14:textId="77777777" w:rsidR="00A16220" w:rsidRDefault="00A162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19"/>
      <w:gridCol w:w="3544"/>
      <w:gridCol w:w="1559"/>
      <w:gridCol w:w="1134"/>
    </w:tblGrid>
    <w:tr w:rsidR="002A0A64" w:rsidRPr="00E22F88" w14:paraId="044C4739" w14:textId="77777777">
      <w:trPr>
        <w:cantSplit/>
        <w:trHeight w:val="883"/>
      </w:trPr>
      <w:tc>
        <w:tcPr>
          <w:tcW w:w="3119" w:type="dxa"/>
        </w:tcPr>
        <w:p w14:paraId="129482B8" w14:textId="77777777" w:rsidR="002A0A64" w:rsidRDefault="002A0A64">
          <w:pPr>
            <w:tabs>
              <w:tab w:val="left" w:pos="900"/>
            </w:tabs>
          </w:pPr>
          <w:r>
            <w:rPr>
              <w:noProof/>
              <w:lang w:val="hr-HR" w:eastAsia="hr-HR"/>
            </w:rPr>
            <w:drawing>
              <wp:inline distT="0" distB="0" distL="0" distR="0" wp14:anchorId="209B0AB0" wp14:editId="76F5C42C">
                <wp:extent cx="1704975" cy="552450"/>
                <wp:effectExtent l="19050" t="0" r="9525" b="0"/>
                <wp:docPr id="5" name="Picture 5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C0C0C0"/>
          <w:vAlign w:val="center"/>
        </w:tcPr>
        <w:p w14:paraId="66678749" w14:textId="77777777" w:rsidR="002A0A64" w:rsidRDefault="002A0A64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2CBDEF6F" w14:textId="77777777" w:rsidR="002A0A64" w:rsidRPr="0056664E" w:rsidRDefault="002A0A64">
          <w:pPr>
            <w:pStyle w:val="Header"/>
            <w:jc w:val="center"/>
            <w:rPr>
              <w:b/>
              <w:color w:val="FFFFFF"/>
              <w:sz w:val="28"/>
              <w:lang w:val="fr-FR"/>
            </w:rPr>
          </w:pPr>
          <w:proofErr w:type="spellStart"/>
          <w:r w:rsidRPr="0056664E">
            <w:rPr>
              <w:b/>
              <w:color w:val="FFFFFF"/>
              <w:sz w:val="28"/>
              <w:lang w:val="fr-FR"/>
            </w:rPr>
            <w:t>Broj</w:t>
          </w:r>
          <w:proofErr w:type="spellEnd"/>
          <w:r w:rsidRPr="0056664E">
            <w:rPr>
              <w:b/>
              <w:color w:val="FFFFFF"/>
              <w:sz w:val="28"/>
              <w:lang w:val="fr-FR"/>
            </w:rPr>
            <w:t xml:space="preserve">: </w:t>
          </w:r>
          <w:r>
            <w:rPr>
              <w:b/>
              <w:color w:val="FFFFFF"/>
              <w:sz w:val="28"/>
            </w:rPr>
            <w:t>081/07-1.2- COMT1</w:t>
          </w:r>
        </w:p>
      </w:tc>
      <w:tc>
        <w:tcPr>
          <w:tcW w:w="2693" w:type="dxa"/>
          <w:gridSpan w:val="2"/>
        </w:tcPr>
        <w:p w14:paraId="0D974F17" w14:textId="77777777" w:rsidR="002A0A64" w:rsidRPr="00060755" w:rsidRDefault="002A0A64" w:rsidP="00DD7794">
          <w:pPr>
            <w:pStyle w:val="Header"/>
            <w:rPr>
              <w:b/>
              <w:color w:val="C0C0C0"/>
              <w:lang w:val="fr-FR"/>
            </w:rPr>
          </w:pPr>
          <w:proofErr w:type="spellStart"/>
          <w:r w:rsidRPr="00060755">
            <w:rPr>
              <w:b/>
              <w:color w:val="C0C0C0"/>
              <w:lang w:val="fr-FR"/>
            </w:rPr>
            <w:t>Izdao</w:t>
          </w:r>
          <w:proofErr w:type="spellEnd"/>
          <w:r w:rsidRPr="00060755">
            <w:rPr>
              <w:b/>
              <w:color w:val="C0C0C0"/>
              <w:lang w:val="fr-FR"/>
            </w:rPr>
            <w:t>:</w:t>
          </w:r>
        </w:p>
        <w:p w14:paraId="00C1F010" w14:textId="77777777" w:rsidR="002A0A64" w:rsidRPr="00060755" w:rsidRDefault="002A0A64" w:rsidP="00E22F88">
          <w:pPr>
            <w:pStyle w:val="Header"/>
            <w:rPr>
              <w:b/>
              <w:color w:val="A6A6A6"/>
              <w:lang w:val="fr-FR"/>
            </w:rPr>
          </w:pPr>
          <w:r w:rsidRPr="00060755">
            <w:rPr>
              <w:b/>
              <w:color w:val="A6A6A6"/>
              <w:lang w:val="fr-FR"/>
            </w:rPr>
            <w:t xml:space="preserve">- OFBAN </w:t>
          </w:r>
          <w:proofErr w:type="spellStart"/>
          <w:r w:rsidRPr="00060755">
            <w:rPr>
              <w:b/>
              <w:color w:val="A6A6A6"/>
              <w:lang w:val="fr-FR"/>
            </w:rPr>
            <w:t>projektni</w:t>
          </w:r>
          <w:proofErr w:type="spellEnd"/>
          <w:r w:rsidRPr="00060755">
            <w:rPr>
              <w:b/>
              <w:color w:val="A6A6A6"/>
              <w:lang w:val="fr-FR"/>
            </w:rPr>
            <w:t xml:space="preserve"> </w:t>
          </w:r>
          <w:proofErr w:type="spellStart"/>
          <w:r w:rsidRPr="00060755">
            <w:rPr>
              <w:b/>
              <w:color w:val="A6A6A6"/>
              <w:lang w:val="fr-FR"/>
            </w:rPr>
            <w:t>tim</w:t>
          </w:r>
          <w:proofErr w:type="spellEnd"/>
        </w:p>
        <w:p w14:paraId="2B234CF6" w14:textId="77777777" w:rsidR="002A0A64" w:rsidRPr="00E22F88" w:rsidRDefault="002A0A64" w:rsidP="009D4FD5">
          <w:pPr>
            <w:pStyle w:val="Header"/>
            <w:rPr>
              <w:b/>
              <w:color w:val="C0C0C0"/>
            </w:rPr>
          </w:pPr>
          <w:r w:rsidRPr="00060755">
            <w:rPr>
              <w:b/>
              <w:color w:val="A6A6A6"/>
              <w:lang w:val="fr-FR"/>
            </w:rPr>
            <w:t>-</w:t>
          </w:r>
          <w:r w:rsidRPr="005A7577">
            <w:rPr>
              <w:b/>
              <w:color w:val="A6A6A6"/>
              <w:lang w:val="pl-PL"/>
            </w:rPr>
            <w:t xml:space="preserve"> Odjel </w:t>
          </w:r>
          <w:r>
            <w:rPr>
              <w:b/>
              <w:color w:val="A6A6A6"/>
              <w:lang w:val="pl-PL"/>
            </w:rPr>
            <w:t>razvoja i operacija  pristupnih mreža</w:t>
          </w:r>
        </w:p>
      </w:tc>
    </w:tr>
    <w:tr w:rsidR="002A0A64" w14:paraId="52B6B626" w14:textId="77777777">
      <w:trPr>
        <w:cantSplit/>
        <w:trHeight w:val="1484"/>
      </w:trPr>
      <w:tc>
        <w:tcPr>
          <w:tcW w:w="8222" w:type="dxa"/>
          <w:gridSpan w:val="3"/>
          <w:tcBorders>
            <w:top w:val="single" w:sz="4" w:space="0" w:color="auto"/>
            <w:bottom w:val="single" w:sz="12" w:space="0" w:color="auto"/>
          </w:tcBorders>
        </w:tcPr>
        <w:p w14:paraId="7D550A1E" w14:textId="77777777" w:rsidR="002A0A64" w:rsidRPr="00060755" w:rsidRDefault="002A0A64">
          <w:pPr>
            <w:pStyle w:val="Header"/>
            <w:spacing w:before="120"/>
            <w:rPr>
              <w:rFonts w:ascii="Arial" w:hAnsi="Arial"/>
            </w:rPr>
          </w:pPr>
          <w:proofErr w:type="spellStart"/>
          <w:r w:rsidRPr="00060755">
            <w:rPr>
              <w:rFonts w:ascii="Arial" w:hAnsi="Arial"/>
            </w:rPr>
            <w:t>Naziv</w:t>
          </w:r>
          <w:proofErr w:type="spellEnd"/>
          <w:r w:rsidRPr="00060755">
            <w:rPr>
              <w:rFonts w:ascii="Arial" w:hAnsi="Arial"/>
            </w:rPr>
            <w:t xml:space="preserve"> </w:t>
          </w:r>
          <w:proofErr w:type="spellStart"/>
          <w:r w:rsidRPr="00060755">
            <w:rPr>
              <w:rFonts w:ascii="Arial" w:hAnsi="Arial"/>
            </w:rPr>
            <w:t>materijala</w:t>
          </w:r>
          <w:proofErr w:type="spellEnd"/>
          <w:r w:rsidRPr="00060755">
            <w:rPr>
              <w:rFonts w:ascii="Arial" w:hAnsi="Arial"/>
            </w:rPr>
            <w:t>/</w:t>
          </w:r>
          <w:proofErr w:type="spellStart"/>
          <w:r w:rsidRPr="00060755">
            <w:rPr>
              <w:rFonts w:ascii="Arial" w:hAnsi="Arial"/>
            </w:rPr>
            <w:t>opreme</w:t>
          </w:r>
          <w:proofErr w:type="spellEnd"/>
          <w:r w:rsidRPr="00060755">
            <w:rPr>
              <w:rFonts w:ascii="Arial" w:hAnsi="Arial"/>
            </w:rPr>
            <w:t>:</w:t>
          </w:r>
        </w:p>
        <w:p w14:paraId="42721021" w14:textId="77777777" w:rsidR="002A0A64" w:rsidRPr="00060755" w:rsidRDefault="002A0A64">
          <w:pPr>
            <w:pStyle w:val="Header"/>
            <w:framePr w:hSpace="180" w:wrap="around" w:vAnchor="page" w:hAnchor="margin" w:xAlign="center" w:y="1265"/>
            <w:rPr>
              <w:b/>
              <w:sz w:val="8"/>
            </w:rPr>
          </w:pPr>
        </w:p>
        <w:p w14:paraId="2CE1A186" w14:textId="77777777" w:rsidR="002A0A64" w:rsidRPr="0027401C" w:rsidRDefault="002A0A64" w:rsidP="0027401C">
          <w:pPr>
            <w:pStyle w:val="Heading5"/>
            <w:tabs>
              <w:tab w:val="left" w:pos="284"/>
              <w:tab w:val="left" w:pos="2268"/>
            </w:tabs>
            <w:spacing w:line="240" w:lineRule="auto"/>
            <w:ind w:left="709" w:right="34"/>
            <w:jc w:val="center"/>
            <w:rPr>
              <w:rFonts w:ascii="Arial" w:hAnsi="Arial" w:cs="Arial"/>
              <w:sz w:val="28"/>
              <w:szCs w:val="28"/>
            </w:rPr>
          </w:pPr>
          <w:r>
            <w:t>ŠIROKOPOJASNI PLANARNI OPTIČKI SPREŽNIK</w:t>
          </w:r>
        </w:p>
      </w:tc>
      <w:tc>
        <w:tcPr>
          <w:tcW w:w="1134" w:type="dxa"/>
        </w:tcPr>
        <w:p w14:paraId="66FE5BDB" w14:textId="77777777" w:rsidR="002A0A64" w:rsidRDefault="002A0A64">
          <w:pPr>
            <w:pStyle w:val="Header"/>
            <w:spacing w:before="120"/>
            <w:ind w:left="176" w:right="-108"/>
            <w:rPr>
              <w:b/>
              <w:sz w:val="18"/>
            </w:rPr>
          </w:pPr>
          <w:proofErr w:type="spellStart"/>
          <w:r>
            <w:rPr>
              <w:rFonts w:ascii="Arial" w:hAnsi="Arial"/>
              <w:b/>
              <w:sz w:val="18"/>
            </w:rPr>
            <w:t>Ukupno</w:t>
          </w:r>
          <w:proofErr w:type="spellEnd"/>
          <w:r>
            <w:rPr>
              <w:rFonts w:ascii="Arial" w:hAnsi="Arial"/>
              <w:b/>
              <w:sz w:val="18"/>
            </w:rPr>
            <w:t xml:space="preserve"> </w:t>
          </w:r>
          <w:proofErr w:type="spellStart"/>
          <w:r>
            <w:rPr>
              <w:rFonts w:ascii="Arial" w:hAnsi="Arial"/>
              <w:b/>
              <w:sz w:val="18"/>
            </w:rPr>
            <w:t>stranica</w:t>
          </w:r>
          <w:proofErr w:type="spellEnd"/>
          <w:r>
            <w:rPr>
              <w:b/>
              <w:sz w:val="18"/>
            </w:rPr>
            <w:t>:</w:t>
          </w:r>
        </w:p>
        <w:p w14:paraId="4716DA04" w14:textId="77777777" w:rsidR="002A0A64" w:rsidRDefault="00865C7D">
          <w:pPr>
            <w:pStyle w:val="Header"/>
            <w:spacing w:before="120"/>
            <w:ind w:right="-108"/>
            <w:jc w:val="center"/>
            <w:rPr>
              <w:rFonts w:ascii="Arial" w:hAnsi="Arial"/>
              <w:b/>
              <w:sz w:val="28"/>
            </w:rPr>
          </w:pPr>
          <w:r>
            <w:rPr>
              <w:rStyle w:val="PageNumber"/>
              <w:rFonts w:ascii="Arial" w:hAnsi="Arial"/>
              <w:b/>
              <w:sz w:val="28"/>
            </w:rPr>
            <w:t>8</w:t>
          </w:r>
        </w:p>
      </w:tc>
    </w:tr>
  </w:tbl>
  <w:p w14:paraId="4676C2D2" w14:textId="77777777" w:rsidR="002A0A64" w:rsidRDefault="002A0A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B7E54" w14:textId="77777777" w:rsidR="00A16220" w:rsidRDefault="00A1622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DB634" w14:textId="77777777" w:rsidR="002A0A64" w:rsidRDefault="002A0A6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-3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61"/>
      <w:gridCol w:w="3544"/>
      <w:gridCol w:w="2693"/>
    </w:tblGrid>
    <w:tr w:rsidR="002A0A64" w:rsidRPr="00E22F88" w14:paraId="23418022" w14:textId="77777777" w:rsidTr="00E22F88">
      <w:trPr>
        <w:cantSplit/>
        <w:trHeight w:val="883"/>
      </w:trPr>
      <w:tc>
        <w:tcPr>
          <w:tcW w:w="326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</w:tcPr>
        <w:p w14:paraId="740A2A1E" w14:textId="77777777" w:rsidR="002A0A64" w:rsidRDefault="002A0A64">
          <w:pPr>
            <w:tabs>
              <w:tab w:val="left" w:pos="900"/>
            </w:tabs>
          </w:pPr>
          <w:r>
            <w:rPr>
              <w:noProof/>
              <w:lang w:val="hr-HR" w:eastAsia="hr-HR"/>
            </w:rPr>
            <w:drawing>
              <wp:inline distT="0" distB="0" distL="0" distR="0" wp14:anchorId="4D73BBB4" wp14:editId="6BF4BBA2">
                <wp:extent cx="1704975" cy="552450"/>
                <wp:effectExtent l="19050" t="0" r="9525" b="0"/>
                <wp:docPr id="1" name="Picture 1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shd w:val="clear" w:color="auto" w:fill="C0C0C0"/>
          <w:vAlign w:val="center"/>
        </w:tcPr>
        <w:p w14:paraId="44FEBE7A" w14:textId="77777777" w:rsidR="002A0A64" w:rsidRDefault="002A0A64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7BDE38A4" w14:textId="77777777" w:rsidR="002A0A64" w:rsidRPr="0056664E" w:rsidRDefault="002A0A64">
          <w:pPr>
            <w:pStyle w:val="Header"/>
            <w:jc w:val="center"/>
            <w:rPr>
              <w:b/>
              <w:color w:val="FFFFFF"/>
              <w:sz w:val="28"/>
              <w:lang w:val="fr-FR"/>
            </w:rPr>
          </w:pPr>
          <w:proofErr w:type="spellStart"/>
          <w:r w:rsidRPr="0056664E">
            <w:rPr>
              <w:b/>
              <w:color w:val="FFFFFF"/>
              <w:sz w:val="28"/>
              <w:lang w:val="fr-FR"/>
            </w:rPr>
            <w:t>Broj</w:t>
          </w:r>
          <w:proofErr w:type="spellEnd"/>
          <w:r w:rsidRPr="0056664E">
            <w:rPr>
              <w:b/>
              <w:color w:val="FFFFFF"/>
              <w:sz w:val="28"/>
              <w:lang w:val="fr-FR"/>
            </w:rPr>
            <w:t xml:space="preserve">: </w:t>
          </w:r>
          <w:r>
            <w:rPr>
              <w:b/>
              <w:color w:val="FFFFFF"/>
              <w:sz w:val="28"/>
            </w:rPr>
            <w:t>081/07-1.2- COMT1</w:t>
          </w:r>
        </w:p>
      </w:tc>
      <w:tc>
        <w:tcPr>
          <w:tcW w:w="2693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</w:tcPr>
        <w:p w14:paraId="172FE21E" w14:textId="77777777" w:rsidR="002A0A64" w:rsidRPr="00060755" w:rsidRDefault="002A0A64" w:rsidP="00DD7794">
          <w:pPr>
            <w:pStyle w:val="Header"/>
            <w:rPr>
              <w:b/>
              <w:color w:val="C0C0C0"/>
              <w:lang w:val="fr-FR"/>
            </w:rPr>
          </w:pPr>
          <w:proofErr w:type="spellStart"/>
          <w:r w:rsidRPr="00060755">
            <w:rPr>
              <w:b/>
              <w:color w:val="C0C0C0"/>
              <w:lang w:val="fr-FR"/>
            </w:rPr>
            <w:t>Izdao</w:t>
          </w:r>
          <w:proofErr w:type="spellEnd"/>
          <w:r w:rsidRPr="00060755">
            <w:rPr>
              <w:b/>
              <w:color w:val="C0C0C0"/>
              <w:lang w:val="fr-FR"/>
            </w:rPr>
            <w:t>:</w:t>
          </w:r>
        </w:p>
        <w:p w14:paraId="23025A2A" w14:textId="77777777" w:rsidR="002A0A64" w:rsidRPr="00060755" w:rsidRDefault="002A0A64" w:rsidP="00E22F88">
          <w:pPr>
            <w:pStyle w:val="Header"/>
            <w:rPr>
              <w:b/>
              <w:color w:val="A6A6A6"/>
              <w:lang w:val="fr-FR"/>
            </w:rPr>
          </w:pPr>
          <w:r w:rsidRPr="00060755">
            <w:rPr>
              <w:b/>
              <w:color w:val="A6A6A6"/>
              <w:lang w:val="fr-FR"/>
            </w:rPr>
            <w:t xml:space="preserve">- OFBAN </w:t>
          </w:r>
          <w:proofErr w:type="spellStart"/>
          <w:r w:rsidRPr="00060755">
            <w:rPr>
              <w:b/>
              <w:color w:val="A6A6A6"/>
              <w:lang w:val="fr-FR"/>
            </w:rPr>
            <w:t>projektni</w:t>
          </w:r>
          <w:proofErr w:type="spellEnd"/>
          <w:r w:rsidRPr="00060755">
            <w:rPr>
              <w:b/>
              <w:color w:val="A6A6A6"/>
              <w:lang w:val="fr-FR"/>
            </w:rPr>
            <w:t xml:space="preserve"> </w:t>
          </w:r>
          <w:proofErr w:type="spellStart"/>
          <w:r w:rsidRPr="00060755">
            <w:rPr>
              <w:b/>
              <w:color w:val="A6A6A6"/>
              <w:lang w:val="fr-FR"/>
            </w:rPr>
            <w:t>tim</w:t>
          </w:r>
          <w:proofErr w:type="spellEnd"/>
        </w:p>
        <w:p w14:paraId="2C49B8C1" w14:textId="77777777" w:rsidR="002A0A64" w:rsidRPr="00E22F88" w:rsidRDefault="002A0A64" w:rsidP="00E22F88">
          <w:pPr>
            <w:pStyle w:val="Header"/>
            <w:rPr>
              <w:b/>
              <w:color w:val="C0C0C0"/>
            </w:rPr>
          </w:pPr>
          <w:r w:rsidRPr="00060755">
            <w:rPr>
              <w:b/>
              <w:color w:val="A6A6A6"/>
              <w:lang w:val="fr-FR"/>
            </w:rPr>
            <w:t>-</w:t>
          </w:r>
          <w:r>
            <w:rPr>
              <w:b/>
              <w:color w:val="A6A6A6"/>
              <w:lang w:val="pl-PL"/>
            </w:rPr>
            <w:t xml:space="preserve"> </w:t>
          </w:r>
          <w:r w:rsidRPr="005A7577">
            <w:rPr>
              <w:b/>
              <w:color w:val="A6A6A6"/>
              <w:lang w:val="pl-PL"/>
            </w:rPr>
            <w:t xml:space="preserve">Odjel </w:t>
          </w:r>
          <w:r>
            <w:rPr>
              <w:b/>
              <w:color w:val="A6A6A6"/>
              <w:lang w:val="pl-PL"/>
            </w:rPr>
            <w:t>razvoja i operacija  pristupnih mreža</w:t>
          </w:r>
        </w:p>
      </w:tc>
    </w:tr>
  </w:tbl>
  <w:p w14:paraId="22DD5EC9" w14:textId="77777777" w:rsidR="002A0A64" w:rsidRPr="00E22F88" w:rsidRDefault="002A0A6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2F79A" w14:textId="77777777" w:rsidR="002A0A64" w:rsidRDefault="002A0A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E0BFC"/>
    <w:multiLevelType w:val="multilevel"/>
    <w:tmpl w:val="0DB06ADC"/>
    <w:lvl w:ilvl="0">
      <w:start w:val="1"/>
      <w:numFmt w:val="lowerLetter"/>
      <w:pStyle w:val="Heading8"/>
      <w:lvlText w:val="%1)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334A87"/>
    <w:multiLevelType w:val="multilevel"/>
    <w:tmpl w:val="AB463BC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D9E4324"/>
    <w:multiLevelType w:val="multilevel"/>
    <w:tmpl w:val="902A0DF2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</w:rPr>
    </w:lvl>
    <w:lvl w:ilvl="2">
      <w:start w:val="1"/>
      <w:numFmt w:val="decimal"/>
      <w:lvlRestart w:val="0"/>
      <w:pStyle w:val="Heading3"/>
      <w:lvlText w:val="%1.%2.%3."/>
      <w:lvlJc w:val="left"/>
      <w:pPr>
        <w:tabs>
          <w:tab w:val="num" w:pos="7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6FB0118F"/>
    <w:multiLevelType w:val="multilevel"/>
    <w:tmpl w:val="7F0209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6"/>
    </w:lvlOverride>
    <w:lvlOverride w:ilvl="1">
      <w:startOverride w:val="4"/>
    </w:lvlOverride>
    <w:lvlOverride w:ilvl="2">
      <w:startOverride w:val="1"/>
    </w:lvlOverride>
  </w:num>
  <w:num w:numId="6">
    <w:abstractNumId w:val="2"/>
  </w:num>
  <w:num w:numId="7">
    <w:abstractNumId w:val="2"/>
    <w:lvlOverride w:ilvl="0">
      <w:startOverride w:val="6"/>
    </w:lvlOverride>
    <w:lvlOverride w:ilvl="1">
      <w:startOverride w:val="5"/>
    </w:lvlOverride>
    <w:lvlOverride w:ilvl="2">
      <w:startOverride w:val="1"/>
    </w:lvlOverride>
  </w:num>
  <w:num w:numId="8">
    <w:abstractNumId w:val="2"/>
    <w:lvlOverride w:ilvl="0">
      <w:startOverride w:val="6"/>
    </w:lvlOverride>
    <w:lvlOverride w:ilvl="1">
      <w:startOverride w:val="6"/>
    </w:lvlOverride>
    <w:lvlOverride w:ilvl="2">
      <w:startOverride w:val="1"/>
    </w:lvlOverride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284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A3E"/>
    <w:rsid w:val="00000296"/>
    <w:rsid w:val="00002875"/>
    <w:rsid w:val="0001437E"/>
    <w:rsid w:val="000262F5"/>
    <w:rsid w:val="00036593"/>
    <w:rsid w:val="00047B87"/>
    <w:rsid w:val="000526D7"/>
    <w:rsid w:val="00060755"/>
    <w:rsid w:val="00077F6E"/>
    <w:rsid w:val="000A5950"/>
    <w:rsid w:val="000A742A"/>
    <w:rsid w:val="000B0BB1"/>
    <w:rsid w:val="000E0CB4"/>
    <w:rsid w:val="000F22C7"/>
    <w:rsid w:val="000F3A3D"/>
    <w:rsid w:val="001051AE"/>
    <w:rsid w:val="00136766"/>
    <w:rsid w:val="0014530A"/>
    <w:rsid w:val="00147B70"/>
    <w:rsid w:val="0015709A"/>
    <w:rsid w:val="001575B9"/>
    <w:rsid w:val="001663F4"/>
    <w:rsid w:val="001802E5"/>
    <w:rsid w:val="00180F57"/>
    <w:rsid w:val="00185306"/>
    <w:rsid w:val="00197597"/>
    <w:rsid w:val="001C227B"/>
    <w:rsid w:val="001C30D4"/>
    <w:rsid w:val="001C3FBE"/>
    <w:rsid w:val="001C6AC6"/>
    <w:rsid w:val="001C6CBD"/>
    <w:rsid w:val="001E0015"/>
    <w:rsid w:val="001F2478"/>
    <w:rsid w:val="001F2DD4"/>
    <w:rsid w:val="00204D1C"/>
    <w:rsid w:val="002064BE"/>
    <w:rsid w:val="00213730"/>
    <w:rsid w:val="00224EB7"/>
    <w:rsid w:val="002545EF"/>
    <w:rsid w:val="00267EA3"/>
    <w:rsid w:val="0027401C"/>
    <w:rsid w:val="00284945"/>
    <w:rsid w:val="002A0A64"/>
    <w:rsid w:val="002A3B17"/>
    <w:rsid w:val="002B67D5"/>
    <w:rsid w:val="002C1299"/>
    <w:rsid w:val="002C5180"/>
    <w:rsid w:val="002E5779"/>
    <w:rsid w:val="002E58DF"/>
    <w:rsid w:val="002F3D3A"/>
    <w:rsid w:val="00301BD3"/>
    <w:rsid w:val="00306CBE"/>
    <w:rsid w:val="00312112"/>
    <w:rsid w:val="003124CE"/>
    <w:rsid w:val="00312D24"/>
    <w:rsid w:val="0031547F"/>
    <w:rsid w:val="00320794"/>
    <w:rsid w:val="0034033B"/>
    <w:rsid w:val="00382C91"/>
    <w:rsid w:val="003914E3"/>
    <w:rsid w:val="00394BD2"/>
    <w:rsid w:val="003A4865"/>
    <w:rsid w:val="003B44AC"/>
    <w:rsid w:val="003C25C0"/>
    <w:rsid w:val="003D25EE"/>
    <w:rsid w:val="003E058C"/>
    <w:rsid w:val="003E3499"/>
    <w:rsid w:val="003E5227"/>
    <w:rsid w:val="003F303D"/>
    <w:rsid w:val="003F3824"/>
    <w:rsid w:val="003F4660"/>
    <w:rsid w:val="003F4C4D"/>
    <w:rsid w:val="00400C83"/>
    <w:rsid w:val="00405E87"/>
    <w:rsid w:val="00412622"/>
    <w:rsid w:val="00420131"/>
    <w:rsid w:val="00424280"/>
    <w:rsid w:val="00426133"/>
    <w:rsid w:val="00441B4E"/>
    <w:rsid w:val="004802F2"/>
    <w:rsid w:val="004902D1"/>
    <w:rsid w:val="004A49D9"/>
    <w:rsid w:val="004B614A"/>
    <w:rsid w:val="004C15C5"/>
    <w:rsid w:val="004E7BA6"/>
    <w:rsid w:val="004F0691"/>
    <w:rsid w:val="00507F13"/>
    <w:rsid w:val="00516A3E"/>
    <w:rsid w:val="00521AF3"/>
    <w:rsid w:val="00530A08"/>
    <w:rsid w:val="005361A5"/>
    <w:rsid w:val="00540DF2"/>
    <w:rsid w:val="00552088"/>
    <w:rsid w:val="005527A2"/>
    <w:rsid w:val="0056664E"/>
    <w:rsid w:val="00575ED3"/>
    <w:rsid w:val="00584750"/>
    <w:rsid w:val="005955A2"/>
    <w:rsid w:val="005B6A9F"/>
    <w:rsid w:val="005D0267"/>
    <w:rsid w:val="005D70EF"/>
    <w:rsid w:val="005E5616"/>
    <w:rsid w:val="005F3597"/>
    <w:rsid w:val="006028EA"/>
    <w:rsid w:val="00620026"/>
    <w:rsid w:val="006248D9"/>
    <w:rsid w:val="00625F4D"/>
    <w:rsid w:val="006265E4"/>
    <w:rsid w:val="0063102F"/>
    <w:rsid w:val="00636FA5"/>
    <w:rsid w:val="0064241A"/>
    <w:rsid w:val="00644808"/>
    <w:rsid w:val="006470FA"/>
    <w:rsid w:val="00664417"/>
    <w:rsid w:val="00672E1C"/>
    <w:rsid w:val="0067793E"/>
    <w:rsid w:val="00681D19"/>
    <w:rsid w:val="00683A74"/>
    <w:rsid w:val="00686D56"/>
    <w:rsid w:val="006919E0"/>
    <w:rsid w:val="006933BA"/>
    <w:rsid w:val="0069735F"/>
    <w:rsid w:val="006A5128"/>
    <w:rsid w:val="006B276C"/>
    <w:rsid w:val="006C24DC"/>
    <w:rsid w:val="006D4B8D"/>
    <w:rsid w:val="006F6A43"/>
    <w:rsid w:val="00700930"/>
    <w:rsid w:val="00703D35"/>
    <w:rsid w:val="00705FBF"/>
    <w:rsid w:val="00717983"/>
    <w:rsid w:val="00720296"/>
    <w:rsid w:val="00726CE2"/>
    <w:rsid w:val="007344CA"/>
    <w:rsid w:val="00735564"/>
    <w:rsid w:val="00735B6A"/>
    <w:rsid w:val="00736015"/>
    <w:rsid w:val="00740003"/>
    <w:rsid w:val="0074269E"/>
    <w:rsid w:val="00746121"/>
    <w:rsid w:val="00746155"/>
    <w:rsid w:val="007566C2"/>
    <w:rsid w:val="00790267"/>
    <w:rsid w:val="007905E3"/>
    <w:rsid w:val="0079459C"/>
    <w:rsid w:val="007A4833"/>
    <w:rsid w:val="007A5171"/>
    <w:rsid w:val="007A6306"/>
    <w:rsid w:val="007B071D"/>
    <w:rsid w:val="007B37A2"/>
    <w:rsid w:val="007B6770"/>
    <w:rsid w:val="007D19B6"/>
    <w:rsid w:val="007E1DFF"/>
    <w:rsid w:val="007E672C"/>
    <w:rsid w:val="007F1FEF"/>
    <w:rsid w:val="007F435C"/>
    <w:rsid w:val="007F599F"/>
    <w:rsid w:val="00801DE7"/>
    <w:rsid w:val="008274BB"/>
    <w:rsid w:val="00827A22"/>
    <w:rsid w:val="00842998"/>
    <w:rsid w:val="00852B51"/>
    <w:rsid w:val="00857B66"/>
    <w:rsid w:val="00865C7D"/>
    <w:rsid w:val="008705A8"/>
    <w:rsid w:val="008755EA"/>
    <w:rsid w:val="00877A2B"/>
    <w:rsid w:val="00880F0A"/>
    <w:rsid w:val="00885C14"/>
    <w:rsid w:val="0089099A"/>
    <w:rsid w:val="00893AEB"/>
    <w:rsid w:val="008B3504"/>
    <w:rsid w:val="008D1E95"/>
    <w:rsid w:val="008D25C5"/>
    <w:rsid w:val="008D5DA4"/>
    <w:rsid w:val="008D7B51"/>
    <w:rsid w:val="008E26D2"/>
    <w:rsid w:val="008E4128"/>
    <w:rsid w:val="008E5B70"/>
    <w:rsid w:val="008E7C19"/>
    <w:rsid w:val="0091540C"/>
    <w:rsid w:val="009200B6"/>
    <w:rsid w:val="009231AF"/>
    <w:rsid w:val="009260F4"/>
    <w:rsid w:val="00935E8E"/>
    <w:rsid w:val="00936C75"/>
    <w:rsid w:val="009417C5"/>
    <w:rsid w:val="0095050A"/>
    <w:rsid w:val="00957601"/>
    <w:rsid w:val="009616C7"/>
    <w:rsid w:val="00961941"/>
    <w:rsid w:val="009639CF"/>
    <w:rsid w:val="009756CD"/>
    <w:rsid w:val="009870D9"/>
    <w:rsid w:val="0099305C"/>
    <w:rsid w:val="00993614"/>
    <w:rsid w:val="0099389A"/>
    <w:rsid w:val="009D4FD5"/>
    <w:rsid w:val="009D5DFF"/>
    <w:rsid w:val="009D7681"/>
    <w:rsid w:val="009F5DA5"/>
    <w:rsid w:val="00A16220"/>
    <w:rsid w:val="00A316CA"/>
    <w:rsid w:val="00A45F65"/>
    <w:rsid w:val="00A70D50"/>
    <w:rsid w:val="00A71E36"/>
    <w:rsid w:val="00A72238"/>
    <w:rsid w:val="00A80AD0"/>
    <w:rsid w:val="00A97238"/>
    <w:rsid w:val="00A977E7"/>
    <w:rsid w:val="00AA112E"/>
    <w:rsid w:val="00AA360A"/>
    <w:rsid w:val="00AA5231"/>
    <w:rsid w:val="00AA6810"/>
    <w:rsid w:val="00AB4093"/>
    <w:rsid w:val="00AC72AD"/>
    <w:rsid w:val="00AD410B"/>
    <w:rsid w:val="00AD519E"/>
    <w:rsid w:val="00AE05BF"/>
    <w:rsid w:val="00AE5AA5"/>
    <w:rsid w:val="00AF09C9"/>
    <w:rsid w:val="00B00639"/>
    <w:rsid w:val="00B167C1"/>
    <w:rsid w:val="00B21AAC"/>
    <w:rsid w:val="00B32CE6"/>
    <w:rsid w:val="00B35811"/>
    <w:rsid w:val="00B45EF9"/>
    <w:rsid w:val="00B51DEF"/>
    <w:rsid w:val="00B52487"/>
    <w:rsid w:val="00B555C4"/>
    <w:rsid w:val="00B57C7F"/>
    <w:rsid w:val="00B657CE"/>
    <w:rsid w:val="00B65F53"/>
    <w:rsid w:val="00B700D8"/>
    <w:rsid w:val="00B721B9"/>
    <w:rsid w:val="00B75E96"/>
    <w:rsid w:val="00B91236"/>
    <w:rsid w:val="00B94187"/>
    <w:rsid w:val="00B957BA"/>
    <w:rsid w:val="00B964CF"/>
    <w:rsid w:val="00BB7C27"/>
    <w:rsid w:val="00BC02A6"/>
    <w:rsid w:val="00BC216D"/>
    <w:rsid w:val="00BC4A99"/>
    <w:rsid w:val="00BC60C1"/>
    <w:rsid w:val="00BC773A"/>
    <w:rsid w:val="00BD457C"/>
    <w:rsid w:val="00BE2D4B"/>
    <w:rsid w:val="00BF249F"/>
    <w:rsid w:val="00C02B43"/>
    <w:rsid w:val="00C049DF"/>
    <w:rsid w:val="00C21621"/>
    <w:rsid w:val="00C25AD7"/>
    <w:rsid w:val="00C267E3"/>
    <w:rsid w:val="00C30921"/>
    <w:rsid w:val="00C34FB2"/>
    <w:rsid w:val="00C35243"/>
    <w:rsid w:val="00C35FA3"/>
    <w:rsid w:val="00C45A28"/>
    <w:rsid w:val="00C516B2"/>
    <w:rsid w:val="00C57357"/>
    <w:rsid w:val="00C64DE0"/>
    <w:rsid w:val="00C65AEC"/>
    <w:rsid w:val="00C80C91"/>
    <w:rsid w:val="00C81914"/>
    <w:rsid w:val="00C84CA5"/>
    <w:rsid w:val="00C9313E"/>
    <w:rsid w:val="00CC4907"/>
    <w:rsid w:val="00CD3609"/>
    <w:rsid w:val="00CD3E28"/>
    <w:rsid w:val="00CE709E"/>
    <w:rsid w:val="00CF3BAB"/>
    <w:rsid w:val="00D06657"/>
    <w:rsid w:val="00D10638"/>
    <w:rsid w:val="00D110EA"/>
    <w:rsid w:val="00D313FC"/>
    <w:rsid w:val="00D364E2"/>
    <w:rsid w:val="00D468AA"/>
    <w:rsid w:val="00D6274C"/>
    <w:rsid w:val="00D7065B"/>
    <w:rsid w:val="00D83CAE"/>
    <w:rsid w:val="00D854D7"/>
    <w:rsid w:val="00DA2DC4"/>
    <w:rsid w:val="00DA5D30"/>
    <w:rsid w:val="00DA77FC"/>
    <w:rsid w:val="00DB143D"/>
    <w:rsid w:val="00DB1DE4"/>
    <w:rsid w:val="00DB6C87"/>
    <w:rsid w:val="00DC3F09"/>
    <w:rsid w:val="00DD7794"/>
    <w:rsid w:val="00DD7DB3"/>
    <w:rsid w:val="00DE1C14"/>
    <w:rsid w:val="00DE1E5A"/>
    <w:rsid w:val="00DF49C5"/>
    <w:rsid w:val="00DF5257"/>
    <w:rsid w:val="00E12429"/>
    <w:rsid w:val="00E207D3"/>
    <w:rsid w:val="00E22F88"/>
    <w:rsid w:val="00E269C0"/>
    <w:rsid w:val="00E322F6"/>
    <w:rsid w:val="00E328E4"/>
    <w:rsid w:val="00E42660"/>
    <w:rsid w:val="00E461E5"/>
    <w:rsid w:val="00E47255"/>
    <w:rsid w:val="00E67FD2"/>
    <w:rsid w:val="00E7442B"/>
    <w:rsid w:val="00EB103D"/>
    <w:rsid w:val="00EB1CFB"/>
    <w:rsid w:val="00EB3A9E"/>
    <w:rsid w:val="00EB4DA8"/>
    <w:rsid w:val="00EE4A09"/>
    <w:rsid w:val="00EF5433"/>
    <w:rsid w:val="00EF5508"/>
    <w:rsid w:val="00F01416"/>
    <w:rsid w:val="00F11591"/>
    <w:rsid w:val="00F15D50"/>
    <w:rsid w:val="00F361E7"/>
    <w:rsid w:val="00F50BCD"/>
    <w:rsid w:val="00F64711"/>
    <w:rsid w:val="00F7463B"/>
    <w:rsid w:val="00F772B4"/>
    <w:rsid w:val="00FB645C"/>
    <w:rsid w:val="00FC09BB"/>
    <w:rsid w:val="00FC55AD"/>
    <w:rsid w:val="00FD0B2C"/>
    <w:rsid w:val="00FD35AB"/>
    <w:rsid w:val="00FD4AF5"/>
    <w:rsid w:val="00FD4F77"/>
    <w:rsid w:val="00FE1A75"/>
    <w:rsid w:val="00FE7968"/>
    <w:rsid w:val="00FF149B"/>
    <w:rsid w:val="00FF5452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8193"/>
    <o:shapelayout v:ext="edit">
      <o:idmap v:ext="edit" data="1"/>
    </o:shapelayout>
  </w:shapeDefaults>
  <w:decimalSymbol w:val=","/>
  <w:listSeparator w:val=";"/>
  <w14:docId w14:val="43365972"/>
  <w15:docId w15:val="{5B743C2B-356B-4D1B-86FE-89140B8D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A74"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6766"/>
    <w:pPr>
      <w:keepNext/>
      <w:numPr>
        <w:numId w:val="1"/>
      </w:numPr>
      <w:tabs>
        <w:tab w:val="left" w:pos="1134"/>
      </w:tabs>
      <w:outlineLvl w:val="0"/>
    </w:pPr>
    <w:rPr>
      <w:sz w:val="24"/>
      <w:lang w:val="hr-HR"/>
    </w:rPr>
  </w:style>
  <w:style w:type="paragraph" w:styleId="Heading2">
    <w:name w:val="heading 2"/>
    <w:basedOn w:val="Normal"/>
    <w:next w:val="Normal"/>
    <w:qFormat/>
    <w:rsid w:val="00136766"/>
    <w:pPr>
      <w:keepNext/>
      <w:numPr>
        <w:ilvl w:val="1"/>
        <w:numId w:val="1"/>
      </w:numPr>
      <w:outlineLvl w:val="1"/>
    </w:pPr>
    <w:rPr>
      <w:rFonts w:ascii="Times New (W1)" w:hAnsi="Times New (W1)"/>
      <w:sz w:val="24"/>
      <w:lang w:val="hr-HR"/>
    </w:rPr>
  </w:style>
  <w:style w:type="paragraph" w:styleId="Heading3">
    <w:name w:val="heading 3"/>
    <w:basedOn w:val="Normal"/>
    <w:next w:val="Normal"/>
    <w:qFormat/>
    <w:rsid w:val="00136766"/>
    <w:pPr>
      <w:keepNext/>
      <w:numPr>
        <w:ilvl w:val="2"/>
        <w:numId w:val="1"/>
      </w:numPr>
      <w:outlineLvl w:val="2"/>
    </w:pPr>
    <w:rPr>
      <w:sz w:val="24"/>
      <w:lang w:val="hr-HR"/>
    </w:rPr>
  </w:style>
  <w:style w:type="paragraph" w:styleId="Heading4">
    <w:name w:val="heading 4"/>
    <w:basedOn w:val="Normal"/>
    <w:next w:val="Normal"/>
    <w:qFormat/>
    <w:rsid w:val="00683A74"/>
    <w:pPr>
      <w:keepNext/>
      <w:spacing w:before="40"/>
      <w:outlineLvl w:val="3"/>
    </w:pPr>
    <w:rPr>
      <w:i/>
      <w:iCs/>
      <w:color w:val="000000"/>
      <w:sz w:val="16"/>
      <w:lang w:val="hr-HR"/>
    </w:rPr>
  </w:style>
  <w:style w:type="paragraph" w:styleId="Heading5">
    <w:name w:val="heading 5"/>
    <w:basedOn w:val="Normal"/>
    <w:next w:val="Normal"/>
    <w:qFormat/>
    <w:rsid w:val="00683A74"/>
    <w:pPr>
      <w:keepNext/>
      <w:spacing w:line="360" w:lineRule="auto"/>
      <w:jc w:val="both"/>
      <w:outlineLvl w:val="4"/>
    </w:pPr>
    <w:rPr>
      <w:b/>
      <w:sz w:val="32"/>
      <w:lang w:val="hr-HR"/>
    </w:rPr>
  </w:style>
  <w:style w:type="paragraph" w:styleId="Heading6">
    <w:name w:val="heading 6"/>
    <w:basedOn w:val="Normal"/>
    <w:next w:val="Normal"/>
    <w:qFormat/>
    <w:rsid w:val="00683A74"/>
    <w:pPr>
      <w:keepNext/>
      <w:overflowPunct/>
      <w:textAlignment w:val="auto"/>
      <w:outlineLvl w:val="5"/>
    </w:pPr>
    <w:rPr>
      <w:rFonts w:ascii="Arial" w:hAnsi="Arial" w:cs="Arial"/>
      <w:sz w:val="24"/>
      <w:szCs w:val="26"/>
    </w:rPr>
  </w:style>
  <w:style w:type="paragraph" w:styleId="Heading7">
    <w:name w:val="heading 7"/>
    <w:basedOn w:val="Normal"/>
    <w:next w:val="Normal"/>
    <w:qFormat/>
    <w:rsid w:val="00683A74"/>
    <w:pPr>
      <w:keepNext/>
      <w:spacing w:before="240"/>
      <w:jc w:val="both"/>
      <w:outlineLvl w:val="6"/>
    </w:pPr>
    <w:rPr>
      <w:rFonts w:ascii="Arial" w:hAnsi="Arial" w:cs="Arial"/>
      <w:sz w:val="28"/>
    </w:rPr>
  </w:style>
  <w:style w:type="paragraph" w:styleId="Heading8">
    <w:name w:val="heading 8"/>
    <w:basedOn w:val="Normal"/>
    <w:next w:val="Normal"/>
    <w:qFormat/>
    <w:rsid w:val="00726CE2"/>
    <w:pPr>
      <w:keepNext/>
      <w:numPr>
        <w:ilvl w:val="7"/>
        <w:numId w:val="2"/>
      </w:numPr>
      <w:tabs>
        <w:tab w:val="left" w:pos="1134"/>
      </w:tabs>
      <w:jc w:val="center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683A74"/>
    <w:pPr>
      <w:keepNext/>
      <w:tabs>
        <w:tab w:val="left" w:pos="5245"/>
      </w:tabs>
      <w:outlineLvl w:val="8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83A7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683A7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683A74"/>
  </w:style>
  <w:style w:type="paragraph" w:styleId="BodyTextIndent">
    <w:name w:val="Body Text Indent"/>
    <w:basedOn w:val="Normal"/>
    <w:semiHidden/>
    <w:rsid w:val="00683A74"/>
    <w:pPr>
      <w:overflowPunct/>
      <w:autoSpaceDE/>
      <w:autoSpaceDN/>
      <w:adjustRightInd/>
      <w:ind w:firstLine="720"/>
      <w:jc w:val="both"/>
      <w:textAlignment w:val="auto"/>
    </w:pPr>
    <w:rPr>
      <w:sz w:val="24"/>
      <w:szCs w:val="24"/>
      <w:lang w:val="hr-HR"/>
    </w:rPr>
  </w:style>
  <w:style w:type="paragraph" w:styleId="BodyTextIndent2">
    <w:name w:val="Body Text Indent 2"/>
    <w:basedOn w:val="Normal"/>
    <w:semiHidden/>
    <w:rsid w:val="00683A74"/>
    <w:pPr>
      <w:overflowPunct/>
      <w:autoSpaceDE/>
      <w:autoSpaceDN/>
      <w:adjustRightInd/>
      <w:ind w:firstLine="720"/>
      <w:jc w:val="both"/>
      <w:textAlignment w:val="auto"/>
    </w:pPr>
    <w:rPr>
      <w:sz w:val="28"/>
      <w:szCs w:val="24"/>
      <w:lang w:val="hr-HR"/>
    </w:rPr>
  </w:style>
  <w:style w:type="paragraph" w:styleId="BlockText">
    <w:name w:val="Block Text"/>
    <w:basedOn w:val="Normal"/>
    <w:semiHidden/>
    <w:rsid w:val="00683A74"/>
    <w:pPr>
      <w:ind w:left="709" w:right="567"/>
      <w:jc w:val="both"/>
    </w:pPr>
    <w:rPr>
      <w:rFonts w:ascii="Arial" w:hAnsi="Arial" w:cs="Arial"/>
      <w:b/>
      <w:bCs/>
      <w:sz w:val="28"/>
    </w:rPr>
  </w:style>
  <w:style w:type="paragraph" w:styleId="BodyText">
    <w:name w:val="Body Text"/>
    <w:basedOn w:val="Normal"/>
    <w:semiHidden/>
    <w:rsid w:val="00683A74"/>
    <w:pPr>
      <w:overflowPunct/>
      <w:autoSpaceDE/>
      <w:autoSpaceDN/>
      <w:adjustRightInd/>
      <w:jc w:val="both"/>
      <w:textAlignment w:val="auto"/>
    </w:pPr>
    <w:rPr>
      <w:rFonts w:ascii="CachetBook" w:hAnsi="CachetBook"/>
      <w:sz w:val="24"/>
      <w:szCs w:val="24"/>
      <w:lang w:val="hr-HR"/>
    </w:rPr>
  </w:style>
  <w:style w:type="paragraph" w:styleId="BodyTextIndent3">
    <w:name w:val="Body Text Indent 3"/>
    <w:basedOn w:val="Normal"/>
    <w:semiHidden/>
    <w:rsid w:val="00683A74"/>
    <w:pPr>
      <w:spacing w:before="240"/>
      <w:ind w:left="360" w:firstLine="633"/>
      <w:jc w:val="both"/>
    </w:pPr>
    <w:rPr>
      <w:rFonts w:ascii="Arial" w:hAnsi="Arial" w:cs="Arial"/>
      <w:sz w:val="28"/>
    </w:rPr>
  </w:style>
  <w:style w:type="paragraph" w:styleId="BodyText2">
    <w:name w:val="Body Text 2"/>
    <w:basedOn w:val="Normal"/>
    <w:semiHidden/>
    <w:rsid w:val="00683A74"/>
    <w:pPr>
      <w:ind w:left="360" w:hanging="360"/>
      <w:jc w:val="both"/>
    </w:pPr>
    <w:rPr>
      <w:sz w:val="24"/>
      <w:lang w:val="hr-HR"/>
    </w:rPr>
  </w:style>
  <w:style w:type="paragraph" w:styleId="BodyText3">
    <w:name w:val="Body Text 3"/>
    <w:basedOn w:val="Normal"/>
    <w:semiHidden/>
    <w:rsid w:val="00683A74"/>
    <w:pPr>
      <w:spacing w:before="240"/>
    </w:pPr>
    <w:rPr>
      <w:sz w:val="22"/>
      <w:lang w:val="hr-HR"/>
    </w:rPr>
  </w:style>
  <w:style w:type="paragraph" w:customStyle="1" w:styleId="CmsorK">
    <w:name w:val="Címsor K"/>
    <w:basedOn w:val="Normal"/>
    <w:next w:val="Normal"/>
    <w:semiHidden/>
    <w:rsid w:val="00683A74"/>
    <w:pPr>
      <w:ind w:left="1701" w:hanging="1701"/>
      <w:jc w:val="both"/>
    </w:pPr>
    <w:rPr>
      <w:sz w:val="24"/>
    </w:rPr>
  </w:style>
  <w:style w:type="paragraph" w:styleId="TOC1">
    <w:name w:val="toc 1"/>
    <w:next w:val="Normal"/>
    <w:autoRedefine/>
    <w:semiHidden/>
    <w:rsid w:val="00683A74"/>
    <w:pPr>
      <w:jc w:val="center"/>
    </w:pPr>
    <w:rPr>
      <w:sz w:val="24"/>
      <w:szCs w:val="24"/>
      <w:lang w:val="de-DE" w:eastAsia="en-US"/>
    </w:rPr>
  </w:style>
  <w:style w:type="paragraph" w:styleId="Title">
    <w:name w:val="Title"/>
    <w:basedOn w:val="Normal"/>
    <w:qFormat/>
    <w:rsid w:val="00683A7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 w:val="hr-HR"/>
    </w:rPr>
  </w:style>
  <w:style w:type="paragraph" w:styleId="DocumentMap">
    <w:name w:val="Document Map"/>
    <w:basedOn w:val="Normal"/>
    <w:semiHidden/>
    <w:rsid w:val="00B964CF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semiHidden/>
    <w:rsid w:val="002B67D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vo">
    <w:name w:val="Ivo"/>
    <w:basedOn w:val="Heading1"/>
    <w:next w:val="Normal"/>
    <w:semiHidden/>
    <w:rsid w:val="001802E5"/>
  </w:style>
  <w:style w:type="character" w:styleId="CommentReference">
    <w:name w:val="annotation reference"/>
    <w:basedOn w:val="DefaultParagraphFont"/>
    <w:semiHidden/>
    <w:rsid w:val="002C1299"/>
    <w:rPr>
      <w:sz w:val="16"/>
      <w:szCs w:val="16"/>
    </w:rPr>
  </w:style>
  <w:style w:type="paragraph" w:styleId="CommentText">
    <w:name w:val="annotation text"/>
    <w:basedOn w:val="Normal"/>
    <w:semiHidden/>
    <w:rsid w:val="002C1299"/>
  </w:style>
  <w:style w:type="paragraph" w:styleId="CommentSubject">
    <w:name w:val="annotation subject"/>
    <w:basedOn w:val="CommentText"/>
    <w:next w:val="CommentText"/>
    <w:semiHidden/>
    <w:rsid w:val="002C1299"/>
    <w:rPr>
      <w:b/>
      <w:bCs/>
    </w:rPr>
  </w:style>
  <w:style w:type="paragraph" w:styleId="BalloonText">
    <w:name w:val="Balloon Text"/>
    <w:basedOn w:val="Normal"/>
    <w:semiHidden/>
    <w:rsid w:val="002C129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D0B2C"/>
    <w:rPr>
      <w:sz w:val="24"/>
      <w:lang w:val="hr-HR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oleObject" Target="embeddings/oleObject1.bin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image" Target="media/image4.emf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emf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oleObject" Target="embeddings/oleObject3.bin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E0091-C4DC-4AF4-83B7-298DD0050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CBB12-F4A0-4D1C-8B52-DAAE71949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B300E2-3047-4F2E-9FC0-4FA1F5757A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8D9135-19C8-4C87-9857-430AFBFBB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10</Pages>
  <Words>1766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 d.d.</Company>
  <LinksUpToDate>false</LinksUpToDate>
  <CharactersWithSpaces>11810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Ivica Meštrović</dc:creator>
  <cp:lastModifiedBy>Aleksandar Skočić</cp:lastModifiedBy>
  <cp:revision>56</cp:revision>
  <cp:lastPrinted>2014-01-15T09:52:00Z</cp:lastPrinted>
  <dcterms:created xsi:type="dcterms:W3CDTF">2015-11-12T20:55:00Z</dcterms:created>
  <dcterms:modified xsi:type="dcterms:W3CDTF">2020-12-01T14:42:00Z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