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4C60" w14:textId="77777777" w:rsidR="00CB1CAF" w:rsidRPr="001F6BED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1F6BED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6A228C" w:rsidRDefault="00CB1CAF" w:rsidP="00CB1CAF">
      <w:pPr>
        <w:spacing w:after="0"/>
        <w:rPr>
          <w:rFonts w:cs="Arial"/>
          <w:lang w:val="en-GB"/>
        </w:rPr>
      </w:pPr>
    </w:p>
    <w:p w14:paraId="05F857C8" w14:textId="77777777" w:rsidR="00CB1CAF" w:rsidRPr="006A228C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  <w:lang w:val="it-IT"/>
        </w:rPr>
      </w:pPr>
      <w:proofErr w:type="spellStart"/>
      <w:r w:rsidRPr="006A228C">
        <w:rPr>
          <w:rFonts w:cs="Arial"/>
          <w:b/>
          <w:bCs/>
          <w:lang w:val="it-IT"/>
        </w:rPr>
        <w:t>Naziv</w:t>
      </w:r>
      <w:proofErr w:type="spellEnd"/>
      <w:r w:rsidRPr="006A228C">
        <w:rPr>
          <w:rFonts w:cs="Arial"/>
          <w:b/>
          <w:bCs/>
          <w:lang w:val="it-IT"/>
        </w:rPr>
        <w:t xml:space="preserve"> </w:t>
      </w:r>
      <w:proofErr w:type="spellStart"/>
      <w:r w:rsidRPr="006A228C">
        <w:rPr>
          <w:rFonts w:cs="Arial"/>
          <w:b/>
          <w:bCs/>
          <w:lang w:val="it-IT"/>
        </w:rPr>
        <w:t>nabave</w:t>
      </w:r>
      <w:proofErr w:type="spellEnd"/>
      <w:r w:rsidRPr="006A228C">
        <w:rPr>
          <w:rFonts w:cs="Arial"/>
          <w:b/>
          <w:bCs/>
          <w:lang w:val="it-IT"/>
        </w:rPr>
        <w:t xml:space="preserve">: </w:t>
      </w:r>
      <w:r w:rsidR="004F4E6F" w:rsidRPr="004F4E6F">
        <w:rPr>
          <w:color w:val="000000"/>
        </w:rPr>
        <w:t>Poziv na dostavu ponuda za pripremu dokumentacije i prilagodbu formulacija vezanih u certificiranje kozmetičkih proizvoda</w:t>
      </w:r>
    </w:p>
    <w:p w14:paraId="234C43FD" w14:textId="77777777" w:rsidR="00CB1CAF" w:rsidRPr="006A228C" w:rsidRDefault="00CB1CAF" w:rsidP="00CB1CAF">
      <w:pPr>
        <w:spacing w:after="0"/>
        <w:rPr>
          <w:rFonts w:cs="Arial"/>
          <w:b/>
          <w:bCs/>
          <w:highlight w:val="yellow"/>
          <w:lang w:val="it-IT"/>
        </w:rPr>
      </w:pPr>
    </w:p>
    <w:p w14:paraId="3FD8FA75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  <w:lang w:val="it-IT"/>
        </w:rPr>
      </w:pPr>
      <w:proofErr w:type="spellStart"/>
      <w:r w:rsidRPr="006A228C">
        <w:rPr>
          <w:rFonts w:cs="Arial"/>
          <w:b/>
          <w:bCs/>
          <w:lang w:val="it-IT"/>
        </w:rPr>
        <w:t>Kolone</w:t>
      </w:r>
      <w:proofErr w:type="spellEnd"/>
      <w:r w:rsidRPr="006A228C">
        <w:rPr>
          <w:rFonts w:cs="Arial"/>
          <w:b/>
          <w:bCs/>
          <w:lang w:val="it-IT"/>
        </w:rPr>
        <w:t xml:space="preserve"> 1-2 </w:t>
      </w:r>
      <w:proofErr w:type="spellStart"/>
      <w:r w:rsidRPr="006A228C">
        <w:rPr>
          <w:rFonts w:cs="Arial"/>
          <w:b/>
          <w:bCs/>
          <w:lang w:val="it-IT"/>
        </w:rPr>
        <w:t>ispunjava</w:t>
      </w:r>
      <w:proofErr w:type="spellEnd"/>
      <w:r w:rsidRPr="006A228C">
        <w:rPr>
          <w:rFonts w:cs="Arial"/>
          <w:b/>
          <w:bCs/>
          <w:lang w:val="it-IT"/>
        </w:rPr>
        <w:t xml:space="preserve"> </w:t>
      </w:r>
      <w:proofErr w:type="spellStart"/>
      <w:r w:rsidRPr="006A228C">
        <w:rPr>
          <w:rFonts w:cs="Arial"/>
          <w:b/>
          <w:bCs/>
          <w:lang w:val="it-IT"/>
        </w:rPr>
        <w:t>Naručitelj</w:t>
      </w:r>
      <w:proofErr w:type="spellEnd"/>
    </w:p>
    <w:p w14:paraId="020D212A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>Kolonu 3 ispunjava Ponuditelj – obavezno</w:t>
      </w:r>
    </w:p>
    <w:p w14:paraId="4CBE06BF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 xml:space="preserve">Kolonu 4 ispunjava Ponuditelj – </w:t>
      </w:r>
      <w:r>
        <w:rPr>
          <w:rFonts w:cs="Arial"/>
          <w:b/>
          <w:bCs/>
        </w:rPr>
        <w:t>prema potrebi</w:t>
      </w:r>
    </w:p>
    <w:p w14:paraId="3115B9F6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298BE46A" w14:textId="77777777"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Tehnička ponuda isporučitelja opreme:</w:t>
      </w:r>
    </w:p>
    <w:p w14:paraId="76C68C5F" w14:textId="77777777"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Ponuđači su dužni ispuniti predloške na sljedećim stranicama:</w:t>
      </w:r>
    </w:p>
    <w:p w14:paraId="3A041EDC" w14:textId="77777777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Kolonu 3 ispunjava ponuditelj sa detaljima ponuđene opreme,</w:t>
      </w:r>
    </w:p>
    <w:p w14:paraId="3F64DA76" w14:textId="77777777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6A228C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60CF698F" w14:textId="77777777" w:rsidR="00CB1CAF" w:rsidRPr="00B940C6" w:rsidRDefault="00CB1CAF" w:rsidP="00CB1CAF">
      <w:pPr>
        <w:jc w:val="both"/>
        <w:rPr>
          <w:rFonts w:cs="Arial"/>
          <w:b/>
          <w:bCs/>
        </w:rPr>
      </w:pPr>
      <w:r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B940C6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1011801F" w14:textId="77777777" w:rsidR="00CB1CAF" w:rsidRPr="00B940C6" w:rsidRDefault="00CB1CAF" w:rsidP="00CB1CAF">
      <w:pPr>
        <w:jc w:val="both"/>
        <w:rPr>
          <w:rFonts w:cs="Arial"/>
          <w:b/>
          <w:bCs/>
        </w:rPr>
      </w:pPr>
      <w:r w:rsidRPr="00B940C6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B940C6">
        <w:rPr>
          <w:rFonts w:cs="Arial"/>
          <w:b/>
          <w:bCs/>
          <w:u w:val="single"/>
        </w:rPr>
        <w:t>minimalni standard</w:t>
      </w:r>
      <w:r w:rsidRPr="00B940C6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0A6CF1B1" w14:textId="77777777" w:rsidR="00CB1CAF" w:rsidRPr="006A228C" w:rsidRDefault="00CB1CAF" w:rsidP="00CB1CAF">
      <w:pPr>
        <w:jc w:val="both"/>
        <w:rPr>
          <w:rFonts w:cs="Arial"/>
        </w:rPr>
      </w:pPr>
      <w:r>
        <w:rPr>
          <w:rFonts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3690"/>
        <w:gridCol w:w="3755"/>
      </w:tblGrid>
      <w:tr w:rsidR="00CB1CAF" w:rsidRPr="006A228C" w14:paraId="5A4C0EEC" w14:textId="77777777" w:rsidTr="00E32C1B">
        <w:trPr>
          <w:cantSplit/>
          <w:trHeight w:val="1631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highlight w:val="green"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Redni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2.</w:t>
            </w:r>
          </w:p>
          <w:p w14:paraId="3BBD71E0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Zahtjevane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tehničke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690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Ponuđene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tehničke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 xml:space="preserve">4. </w:t>
            </w:r>
          </w:p>
          <w:p w14:paraId="40F035C8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Bilješke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,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primjedbe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,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upute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na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popratnu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dokumentaciju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(u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slučaju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odnogova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koloni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3,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navesti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što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se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nudi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jednakovrijedno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>)</w:t>
            </w:r>
          </w:p>
        </w:tc>
      </w:tr>
      <w:tr w:rsidR="00786EB5" w:rsidRPr="006A228C" w14:paraId="130F544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6A228C" w:rsidRDefault="00786EB5" w:rsidP="00DA3099">
            <w:pPr>
              <w:rPr>
                <w:rFonts w:cs="Arial"/>
                <w:b/>
                <w:lang w:val="en-GB"/>
              </w:rPr>
            </w:pPr>
            <w:r w:rsidRPr="006A228C">
              <w:rPr>
                <w:rFonts w:cs="Arial"/>
                <w:b/>
                <w:lang w:val="en-GB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77777777" w:rsidR="00786EB5" w:rsidRPr="006A228C" w:rsidRDefault="00786EB5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hr-HR"/>
              </w:rPr>
            </w:pPr>
            <w:r w:rsidRPr="00092160">
              <w:rPr>
                <w:b/>
              </w:rPr>
              <w:t xml:space="preserve">GRUPA </w:t>
            </w:r>
            <w:r w:rsidRPr="00E32C1B">
              <w:rPr>
                <w:b/>
              </w:rPr>
              <w:t xml:space="preserve">1 – </w:t>
            </w:r>
            <w:r w:rsidR="00E32C1B" w:rsidRPr="00E32C1B">
              <w:rPr>
                <w:b/>
              </w:rPr>
              <w:t>Prilagodba formulacije proizvoda s ciljem pripreme za certifikaciju proizvoda</w:t>
            </w:r>
            <w:r w:rsidR="00E32C1B">
              <w:rPr>
                <w:b/>
              </w:rPr>
              <w:t xml:space="preserve"> 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6A228C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6A228C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14:paraId="282858CB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6A228C" w:rsidRDefault="00CB1CAF" w:rsidP="001D1ADF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F8A362" w14:textId="77777777" w:rsidR="006147BC" w:rsidRPr="00831429" w:rsidRDefault="00E32C1B" w:rsidP="00A07DE6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Cs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bCs/>
                <w:sz w:val="20"/>
                <w:szCs w:val="20"/>
              </w:rPr>
              <w:t>Prilagodba formulacije prema predloženoj formulaciji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77777777" w:rsidR="00CB1CAF" w:rsidRPr="006A228C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6A228C" w:rsidRDefault="00CB1CAF" w:rsidP="00DA3099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1D1ADF" w:rsidRPr="006A228C" w14:paraId="0DF3A226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32E27" w14:textId="77777777" w:rsidR="001D1ADF" w:rsidRDefault="001D1ADF" w:rsidP="001D1ADF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6E4FCE" w14:textId="77777777" w:rsidR="001D1ADF" w:rsidRPr="00831429" w:rsidRDefault="00E32C1B" w:rsidP="00A07DE6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Cs/>
                <w:sz w:val="20"/>
                <w:szCs w:val="20"/>
              </w:rPr>
            </w:pPr>
            <w:r>
              <w:rPr>
                <w:rFonts w:ascii="Calibri Light" w:hAnsi="Calibri Light" w:cs="Calibri"/>
                <w:bCs/>
                <w:sz w:val="20"/>
                <w:szCs w:val="20"/>
              </w:rPr>
              <w:t>S</w:t>
            </w:r>
            <w:r w:rsidRPr="00E32C1B">
              <w:rPr>
                <w:rFonts w:ascii="Calibri Light" w:hAnsi="Calibri Light" w:cs="Calibri"/>
                <w:bCs/>
                <w:sz w:val="20"/>
                <w:szCs w:val="20"/>
              </w:rPr>
              <w:t>avjetovanje pri prilagodbi formulacije kako bi proizvod bio formuliran tako da zadovolji dermatološka ispitivanja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8702D" w14:textId="77777777" w:rsidR="001D1ADF" w:rsidRPr="006A228C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F415C2" w14:textId="77777777" w:rsidR="001D1ADF" w:rsidRPr="006A228C" w:rsidRDefault="001D1ADF" w:rsidP="00DA3099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14:paraId="6758C45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6A04A38" w14:textId="77777777" w:rsidR="00CB1CAF" w:rsidRPr="006A228C" w:rsidRDefault="00CB1CAF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E4C2BF2" w14:textId="77777777" w:rsidR="00CB1CAF" w:rsidRPr="00BF68F1" w:rsidRDefault="00CB1CAF" w:rsidP="00E32C1B">
            <w:pPr>
              <w:spacing w:after="0"/>
              <w:rPr>
                <w:rFonts w:cs="Arial"/>
                <w:b/>
                <w:lang w:eastAsia="hr-HR"/>
              </w:rPr>
            </w:pPr>
            <w:r>
              <w:rPr>
                <w:b/>
              </w:rPr>
              <w:t xml:space="preserve">GRUPA </w:t>
            </w:r>
            <w:r w:rsidR="00512BD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512BD2" w:rsidRPr="00E32C1B">
              <w:rPr>
                <w:b/>
              </w:rPr>
              <w:t>–</w:t>
            </w:r>
            <w:r w:rsidRPr="00E32C1B">
              <w:rPr>
                <w:b/>
              </w:rPr>
              <w:t xml:space="preserve"> </w:t>
            </w:r>
            <w:r w:rsidR="00E32C1B" w:rsidRPr="00E32C1B">
              <w:rPr>
                <w:b/>
              </w:rPr>
              <w:t>Laboratorijska ispitivanja proizvoda</w:t>
            </w:r>
            <w:r w:rsidR="00E32C1B">
              <w:rPr>
                <w:b/>
              </w:rPr>
              <w:t xml:space="preserve"> 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B3EC872" w14:textId="77777777"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29C759D" w14:textId="77777777" w:rsidR="00CB1CAF" w:rsidRPr="006A228C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14:paraId="4962983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53719300" w14:textId="77777777" w:rsidR="00CB1CAF" w:rsidRPr="006A228C" w:rsidRDefault="00CB1C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47214CD4" w14:textId="77777777" w:rsidR="0086481B" w:rsidRPr="00512BD2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Analiza zdravstvene ispravnosti: pH, mikrobiološka analiza i/ili </w:t>
            </w:r>
            <w:proofErr w:type="spellStart"/>
            <w:r w:rsidRPr="00E32C1B">
              <w:rPr>
                <w:rFonts w:ascii="Calibri Light" w:hAnsi="Calibri Light" w:cs="Calibri"/>
                <w:sz w:val="20"/>
                <w:szCs w:val="20"/>
              </w:rPr>
              <w:t>peroksidni</w:t>
            </w:r>
            <w:proofErr w:type="spellEnd"/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 broj; + organoleptičko/mikroskopska analiza – paket usluga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8D3515" w14:textId="77777777" w:rsidR="00CB1CAF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B3A5F30" w14:textId="77777777" w:rsidR="00CB1CAF" w:rsidRPr="006A228C" w:rsidRDefault="00CB1CAF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4184C8CD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66775A43" w14:textId="77777777" w:rsidR="00512BD2" w:rsidRDefault="00512BD2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0BCEB115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Određivanje roka trajanja, fizikalno/kemijske stabilnosti proizvoda te kompatibilnosti s ambalažom ubrzanim testovima stabilnosti:</w:t>
            </w:r>
          </w:p>
          <w:p w14:paraId="136C25F5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a) Test ubrzanog starenja proizvoda - (testiranje u originalnoj ambalaži + kontrola u inertnoj ambalaži) - 3 kontrolne točke + nulta kontrolna točka</w:t>
            </w:r>
          </w:p>
          <w:p w14:paraId="36F8EBBD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organoleptičko/mikroskopska analiza</w:t>
            </w:r>
          </w:p>
          <w:p w14:paraId="0678934C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pH</w:t>
            </w:r>
          </w:p>
          <w:p w14:paraId="5AB771B8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analiza nekog drugog relevantnog parametra</w:t>
            </w:r>
          </w:p>
          <w:p w14:paraId="4A929901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b) Test gubitka mase</w:t>
            </w:r>
          </w:p>
          <w:p w14:paraId="75048A2F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c) </w:t>
            </w:r>
            <w:proofErr w:type="spellStart"/>
            <w:r w:rsidRPr="00E32C1B">
              <w:rPr>
                <w:rFonts w:ascii="Calibri Light" w:hAnsi="Calibri Light" w:cs="Calibri"/>
                <w:sz w:val="20"/>
                <w:szCs w:val="20"/>
              </w:rPr>
              <w:t>Freeze-thaw</w:t>
            </w:r>
            <w:proofErr w:type="spellEnd"/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 ciklusni test (+organoleptičko/mikroskopska analiza)</w:t>
            </w:r>
          </w:p>
          <w:p w14:paraId="4A363093" w14:textId="77777777" w:rsidR="00512BD2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d) Test mehaničkog šoka (+organoleptičko/mikroskopska analiza)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F248DA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8E197AE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2207522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1E182B1B" w14:textId="77777777" w:rsidR="00512BD2" w:rsidRDefault="00512BD2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03A5AFD" w14:textId="77777777" w:rsidR="00512BD2" w:rsidRPr="005C6BA0" w:rsidRDefault="00E32C1B" w:rsidP="005C6BA0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Analiza teškim metala: Pb, Cd, Ni, Cr (paket usluga)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9C16DE1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0CA14601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F94AAF" w:rsidRPr="006A228C" w14:paraId="291D6C23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0DE882EF" w14:textId="77777777" w:rsidR="00F94AAF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2.4.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BF3C498" w14:textId="77777777" w:rsidR="00F94AAF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Validacija roka trajanja (na isteku) dugoročnim testom stabilnosti: </w:t>
            </w:r>
            <w:r w:rsidRPr="004A130E">
              <w:rPr>
                <w:rFonts w:ascii="Calibri Light" w:hAnsi="Calibri Light" w:cs="Calibri"/>
                <w:sz w:val="20"/>
                <w:szCs w:val="20"/>
              </w:rPr>
              <w:lastRenderedPageBreak/>
              <w:t xml:space="preserve">pH, mikrobiološka analiza i/ili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peroksidni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broj; + organoleptičko/mikroskopska analiza – paket usluga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1C9D6C8" w14:textId="77777777" w:rsidR="00F94AAF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77418F25" w14:textId="77777777" w:rsidR="00F94AAF" w:rsidRPr="006A228C" w:rsidRDefault="00F94AAF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3526D1DE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CA518E" w14:textId="77777777" w:rsidR="00512BD2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2.5</w:t>
            </w:r>
            <w:r w:rsidR="00512BD2">
              <w:rPr>
                <w:rFonts w:cs="Arial"/>
                <w:lang w:val="en-GB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34A7A26F" w14:textId="77777777" w:rsidR="00512BD2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Ispitivanje antimikrobne zaštite –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Challenge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1E0F3ABE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494D4A43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A67846" w:rsidRPr="006A228C" w14:paraId="0B5FFB00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D4E1036" w14:textId="77777777" w:rsidR="00A67846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2.6</w:t>
            </w:r>
            <w:r w:rsidR="00A67846">
              <w:rPr>
                <w:rFonts w:cs="Arial"/>
                <w:lang w:val="en-GB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6D0A3F0" w14:textId="77777777" w:rsidR="00A67846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Analiza kozmetičkih alergena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2D2DEA22" w14:textId="77777777" w:rsidR="00A67846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557BD9D1" w14:textId="77777777" w:rsidR="00A67846" w:rsidRPr="006A228C" w:rsidRDefault="00A67846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2D2249" w:rsidRPr="006A228C" w14:paraId="68427AA9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C2CDAD4" w14:textId="77777777" w:rsidR="002D2249" w:rsidRDefault="002D2249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2.7.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5FD4012F" w14:textId="77777777" w:rsidR="002D2249" w:rsidRPr="004A130E" w:rsidRDefault="002D2249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kompletne analitike i analize rezultata laboratorijskog ispitivanja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3E3FD0" w14:textId="77777777" w:rsidR="002D2249" w:rsidRPr="00FE3E9D" w:rsidRDefault="002D2249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6623034C" w14:textId="77777777" w:rsidR="002D2249" w:rsidRPr="006A228C" w:rsidRDefault="002D2249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14:paraId="6DABE1C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59688F7E" w14:textId="77777777" w:rsidR="00CB1CAF" w:rsidRPr="004A130E" w:rsidRDefault="00CB1CAF" w:rsidP="00DA3099">
            <w:pPr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  <w:lang w:val="en-GB"/>
              </w:rPr>
              <w:t>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1B55B668" w14:textId="77777777" w:rsidR="00CB1CAF" w:rsidRPr="004A130E" w:rsidRDefault="00CB1CAF" w:rsidP="00E32C1B">
            <w:pPr>
              <w:spacing w:after="0"/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</w:rPr>
              <w:t xml:space="preserve">GRUPA </w:t>
            </w:r>
            <w:r w:rsidR="00A67846" w:rsidRPr="004A130E">
              <w:rPr>
                <w:rFonts w:cs="Arial"/>
                <w:b/>
              </w:rPr>
              <w:t>3</w:t>
            </w:r>
            <w:r w:rsidRPr="004A130E">
              <w:rPr>
                <w:rFonts w:cs="Arial"/>
                <w:b/>
              </w:rPr>
              <w:t xml:space="preserve"> </w:t>
            </w:r>
            <w:r w:rsidR="00A67846" w:rsidRPr="004A130E">
              <w:rPr>
                <w:rFonts w:cs="Arial"/>
                <w:b/>
              </w:rPr>
              <w:t>–</w:t>
            </w:r>
            <w:r w:rsidRPr="004A130E">
              <w:rPr>
                <w:rFonts w:cs="Arial"/>
                <w:b/>
              </w:rPr>
              <w:t xml:space="preserve"> </w:t>
            </w:r>
            <w:r w:rsidR="00194B7F" w:rsidRPr="004A130E">
              <w:rPr>
                <w:b/>
                <w:bCs/>
              </w:rPr>
              <w:t>Dermatološko ispitivanje sukladnosti proizvoda - certificiranje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42438142" w14:textId="77777777" w:rsidR="00CB1CAF" w:rsidRPr="006D6EB0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32C293C6" w14:textId="77777777" w:rsidR="00CB1CAF" w:rsidRPr="006D6EB0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7927223A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600863F" w14:textId="77777777" w:rsidR="00194B7F" w:rsidRPr="008B7F19" w:rsidRDefault="00194B7F" w:rsidP="00194B7F">
            <w:pPr>
              <w:spacing w:after="0"/>
              <w:jc w:val="center"/>
              <w:rPr>
                <w:rFonts w:cs="Arial"/>
                <w:bCs/>
                <w:lang w:val="en-GB"/>
              </w:rPr>
            </w:pPr>
            <w:r w:rsidRPr="008B7F19">
              <w:rPr>
                <w:rFonts w:cs="Arial"/>
                <w:bCs/>
                <w:lang w:val="en-GB"/>
              </w:rPr>
              <w:t>3.1.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D2B16B3" w14:textId="77777777" w:rsidR="00194B7F" w:rsidRPr="008B7F19" w:rsidRDefault="00194B7F" w:rsidP="00E32C1B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8B7F19">
              <w:rPr>
                <w:rFonts w:cs="Arial"/>
                <w:bCs/>
                <w:sz w:val="20"/>
                <w:szCs w:val="20"/>
              </w:rPr>
              <w:t>Patch</w:t>
            </w:r>
            <w:proofErr w:type="spellEnd"/>
            <w:r w:rsidRPr="008B7F19">
              <w:rPr>
                <w:rFonts w:cs="Arial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9129596" w14:textId="77777777" w:rsidR="00194B7F" w:rsidRPr="006D6EB0" w:rsidRDefault="00194B7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9017D0C" w14:textId="77777777" w:rsidR="00194B7F" w:rsidRPr="006D6EB0" w:rsidRDefault="00194B7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1154759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D590859" w14:textId="77777777" w:rsidR="00194B7F" w:rsidRPr="008B7F19" w:rsidRDefault="00194B7F" w:rsidP="00194B7F">
            <w:pPr>
              <w:spacing w:after="0"/>
              <w:jc w:val="center"/>
              <w:rPr>
                <w:rFonts w:cs="Arial"/>
                <w:bCs/>
                <w:lang w:val="en-GB"/>
              </w:rPr>
            </w:pPr>
            <w:r w:rsidRPr="008B7F19">
              <w:rPr>
                <w:rFonts w:cs="Arial"/>
                <w:bCs/>
                <w:lang w:val="en-GB"/>
              </w:rPr>
              <w:t>3.2.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BA23326" w14:textId="77777777" w:rsidR="00194B7F" w:rsidRPr="008B7F19" w:rsidRDefault="00194B7F" w:rsidP="00E32C1B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8B7F19">
              <w:rPr>
                <w:rFonts w:cs="Arial"/>
                <w:bCs/>
                <w:sz w:val="20"/>
                <w:szCs w:val="20"/>
              </w:rPr>
              <w:t>Use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90F32C" w14:textId="77777777" w:rsidR="00194B7F" w:rsidRPr="00FE3E9D" w:rsidRDefault="00194B7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CDCBEF" w14:textId="77777777" w:rsidR="00194B7F" w:rsidRPr="006D6EB0" w:rsidRDefault="00194B7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C5FEC5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685EEBA9" w14:textId="77777777" w:rsidR="00194B7F" w:rsidRPr="004A130E" w:rsidRDefault="00194B7F" w:rsidP="00194B7F">
            <w:pPr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  <w:lang w:val="en-GB"/>
              </w:rPr>
              <w:t>4.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1C83936E" w14:textId="77777777" w:rsidR="00194B7F" w:rsidRPr="004A130E" w:rsidRDefault="00194B7F" w:rsidP="00194B7F">
            <w:pPr>
              <w:spacing w:after="0"/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</w:rPr>
              <w:t xml:space="preserve">GRUPA 4 – </w:t>
            </w:r>
            <w:r w:rsidRPr="004A130E">
              <w:rPr>
                <w:b/>
                <w:bCs/>
              </w:rPr>
              <w:t>Izrada tehničke dokumentacije certifikacije proizvoda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7EBB9F0D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7ED1A97C" w14:textId="77777777" w:rsidR="00194B7F" w:rsidRPr="006D6EB0" w:rsidRDefault="00194B7F" w:rsidP="00194B7F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51D4BCE5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16F9930E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F8B3954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dokumentacije s podacima o proizvodu - PIF (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Product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Information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File): sakupljanje i slaganje kompletne dokumentacije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B234307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32CF3298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42D9093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695F8890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1106E152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color w:val="FF000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Prijava proizvoda na CPNP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FFEB492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79621E33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949F232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3102F98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EFEAC0A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deklaracije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B1AE2F5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6181BD59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2F899D7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4DD5376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D7B3E7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Procjena sigurnosti kozmetičkog proizvoda na temelju svih provedenih analiza, odnosno kompletne dokumentacije proizvoda, kalkulacija PAO, MOS, izdavanja izvještaja o procijenjenoj sigurnosti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531D7D2F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F54017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D584CDE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4A130E" w14:paraId="103041F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D6BB121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lastRenderedPageBreak/>
              <w:t>4.5.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7772E55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proizvođačke specifikacije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72394991" w14:textId="77777777" w:rsidR="00194B7F" w:rsidRPr="004A130E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F54017">
              <w:fldChar w:fldCharType="separate"/>
            </w:r>
            <w:r w:rsidRPr="004A130E">
              <w:fldChar w:fldCharType="end"/>
            </w:r>
            <w:r w:rsidRPr="004A130E">
              <w:t xml:space="preserve"> DA      </w:t>
            </w: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F54017">
              <w:fldChar w:fldCharType="separate"/>
            </w:r>
            <w:r w:rsidRPr="004A130E">
              <w:fldChar w:fldCharType="end"/>
            </w:r>
            <w:r w:rsidRPr="004A130E"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1AC845F3" w14:textId="77777777" w:rsidR="00194B7F" w:rsidRPr="004A130E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4A130E" w14:paraId="6ABDE1B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65E52AE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4.6.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0B96A36C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ocjene stabilnosti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D082148" w14:textId="77777777" w:rsidR="00194B7F" w:rsidRPr="004A130E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F54017">
              <w:fldChar w:fldCharType="separate"/>
            </w:r>
            <w:r w:rsidRPr="004A130E">
              <w:fldChar w:fldCharType="end"/>
            </w:r>
            <w:r w:rsidRPr="004A130E">
              <w:t xml:space="preserve"> DA      </w:t>
            </w: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F54017">
              <w:fldChar w:fldCharType="separate"/>
            </w:r>
            <w:r w:rsidRPr="004A130E">
              <w:fldChar w:fldCharType="end"/>
            </w:r>
            <w:r w:rsidRPr="004A130E"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BF17FBB" w14:textId="77777777" w:rsidR="00194B7F" w:rsidRPr="004A130E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</w:tbl>
    <w:p w14:paraId="118990A3" w14:textId="77777777" w:rsidR="00A67846" w:rsidRPr="004A130E" w:rsidRDefault="00A67846" w:rsidP="001A34E0">
      <w:pPr>
        <w:rPr>
          <w:rFonts w:cs="Tahoma"/>
        </w:rPr>
      </w:pPr>
    </w:p>
    <w:p w14:paraId="657E7E8D" w14:textId="77777777" w:rsidR="001763C0" w:rsidRPr="004A130E" w:rsidRDefault="001763C0" w:rsidP="001A34E0">
      <w:pPr>
        <w:rPr>
          <w:rFonts w:cs="Tahoma"/>
        </w:rPr>
      </w:pPr>
    </w:p>
    <w:p w14:paraId="40C9D00C" w14:textId="77777777" w:rsidR="00831429" w:rsidRPr="004A130E" w:rsidRDefault="00831429" w:rsidP="001A34E0">
      <w:pPr>
        <w:rPr>
          <w:rFonts w:cs="Tahoma"/>
        </w:rPr>
      </w:pPr>
    </w:p>
    <w:p w14:paraId="193F3A9F" w14:textId="77777777" w:rsidR="00A67846" w:rsidRDefault="00194B7F" w:rsidP="00A67846">
      <w:pPr>
        <w:ind w:left="708" w:firstLine="708"/>
        <w:rPr>
          <w:rFonts w:cs="Tahoma"/>
        </w:rPr>
      </w:pPr>
      <w:r w:rsidRPr="004A130E">
        <w:rPr>
          <w:rFonts w:cs="Tahoma"/>
        </w:rPr>
        <w:t>datum</w:t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  <w:t>M.P.</w:t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  <w:t>Potpis osobe ovlaštene za zastupanje</w:t>
      </w:r>
    </w:p>
    <w:p w14:paraId="29B8AC92" w14:textId="77777777" w:rsidR="00CD5570" w:rsidRPr="001A34E0" w:rsidRDefault="00A67846" w:rsidP="001A34E0">
      <w:pPr>
        <w:ind w:left="708" w:firstLine="708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_______________________________</w:t>
      </w:r>
    </w:p>
    <w:sectPr w:rsidR="00CD5570" w:rsidRPr="001A34E0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6CDDE" w14:textId="77777777" w:rsidR="00F54017" w:rsidRDefault="00F54017">
      <w:pPr>
        <w:spacing w:after="0" w:line="240" w:lineRule="auto"/>
      </w:pPr>
      <w:r>
        <w:separator/>
      </w:r>
    </w:p>
  </w:endnote>
  <w:endnote w:type="continuationSeparator" w:id="0">
    <w:p w14:paraId="498DDF58" w14:textId="77777777" w:rsidR="00F54017" w:rsidRDefault="00F5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F94AAF">
      <w:rPr>
        <w:noProof/>
      </w:rPr>
      <w:t>1</w:t>
    </w:r>
    <w:r>
      <w:rPr>
        <w:noProof/>
      </w:rPr>
      <w:fldChar w:fldCharType="end"/>
    </w:r>
  </w:p>
  <w:p w14:paraId="3697D213" w14:textId="77777777" w:rsidR="002D5525" w:rsidRDefault="00F540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B3E95" w14:textId="77777777" w:rsidR="00F54017" w:rsidRDefault="00F54017">
      <w:pPr>
        <w:spacing w:after="0" w:line="240" w:lineRule="auto"/>
      </w:pPr>
      <w:r>
        <w:separator/>
      </w:r>
    </w:p>
  </w:footnote>
  <w:footnote w:type="continuationSeparator" w:id="0">
    <w:p w14:paraId="7D3C9720" w14:textId="77777777" w:rsidR="00F54017" w:rsidRDefault="00F54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631DB" w14:textId="77777777" w:rsidR="0005525E" w:rsidRDefault="00CB1CAF" w:rsidP="00506749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>EV: Nabava 0</w:t>
    </w:r>
    <w:r w:rsidR="00E32C1B">
      <w:rPr>
        <w:b/>
        <w:color w:val="808080"/>
      </w:rPr>
      <w:t>1</w:t>
    </w:r>
    <w:r w:rsidRPr="0053317E">
      <w:rPr>
        <w:b/>
        <w:color w:val="808080"/>
      </w:rPr>
      <w:t>/20</w:t>
    </w:r>
    <w:r w:rsidR="00E32C1B">
      <w:rPr>
        <w:b/>
        <w:color w:val="808080"/>
      </w:rPr>
      <w:t>20</w:t>
    </w:r>
    <w:r>
      <w:tab/>
    </w:r>
  </w:p>
  <w:p w14:paraId="28539339" w14:textId="77777777" w:rsidR="0005525E" w:rsidRDefault="00F54017" w:rsidP="00506749">
    <w:pPr>
      <w:pStyle w:val="Zaglavlje"/>
      <w:tabs>
        <w:tab w:val="clear" w:pos="4536"/>
        <w:tab w:val="clear" w:pos="9072"/>
        <w:tab w:val="left" w:pos="9729"/>
      </w:tabs>
    </w:pPr>
  </w:p>
  <w:p w14:paraId="2943C46E" w14:textId="77777777" w:rsidR="0005525E" w:rsidRPr="00506749" w:rsidRDefault="00F54017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7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0"/>
  </w:num>
  <w:num w:numId="5">
    <w:abstractNumId w:val="12"/>
  </w:num>
  <w:num w:numId="6">
    <w:abstractNumId w:val="9"/>
  </w:num>
  <w:num w:numId="7">
    <w:abstractNumId w:val="8"/>
  </w:num>
  <w:num w:numId="8">
    <w:abstractNumId w:val="4"/>
  </w:num>
  <w:num w:numId="9">
    <w:abstractNumId w:val="27"/>
  </w:num>
  <w:num w:numId="10">
    <w:abstractNumId w:val="25"/>
  </w:num>
  <w:num w:numId="11">
    <w:abstractNumId w:val="7"/>
  </w:num>
  <w:num w:numId="12">
    <w:abstractNumId w:val="11"/>
  </w:num>
  <w:num w:numId="13">
    <w:abstractNumId w:val="5"/>
  </w:num>
  <w:num w:numId="14">
    <w:abstractNumId w:val="19"/>
  </w:num>
  <w:num w:numId="15">
    <w:abstractNumId w:val="20"/>
  </w:num>
  <w:num w:numId="16">
    <w:abstractNumId w:val="13"/>
  </w:num>
  <w:num w:numId="17">
    <w:abstractNumId w:val="18"/>
  </w:num>
  <w:num w:numId="18">
    <w:abstractNumId w:val="24"/>
  </w:num>
  <w:num w:numId="19">
    <w:abstractNumId w:val="26"/>
  </w:num>
  <w:num w:numId="20">
    <w:abstractNumId w:val="28"/>
  </w:num>
  <w:num w:numId="21">
    <w:abstractNumId w:val="3"/>
  </w:num>
  <w:num w:numId="22">
    <w:abstractNumId w:val="15"/>
  </w:num>
  <w:num w:numId="23">
    <w:abstractNumId w:val="14"/>
  </w:num>
  <w:num w:numId="24">
    <w:abstractNumId w:val="1"/>
  </w:num>
  <w:num w:numId="25">
    <w:abstractNumId w:val="17"/>
  </w:num>
  <w:num w:numId="26">
    <w:abstractNumId w:val="6"/>
  </w:num>
  <w:num w:numId="27">
    <w:abstractNumId w:val="22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B7521"/>
    <w:rsid w:val="000E3ADC"/>
    <w:rsid w:val="0011171D"/>
    <w:rsid w:val="00133D72"/>
    <w:rsid w:val="001763C0"/>
    <w:rsid w:val="00194B7F"/>
    <w:rsid w:val="001A34E0"/>
    <w:rsid w:val="001D1ADF"/>
    <w:rsid w:val="002A4C0C"/>
    <w:rsid w:val="002D2249"/>
    <w:rsid w:val="00364D14"/>
    <w:rsid w:val="0039023D"/>
    <w:rsid w:val="003F3AAE"/>
    <w:rsid w:val="003F73E5"/>
    <w:rsid w:val="004053DB"/>
    <w:rsid w:val="00425680"/>
    <w:rsid w:val="00437B76"/>
    <w:rsid w:val="00453208"/>
    <w:rsid w:val="00466028"/>
    <w:rsid w:val="004A130E"/>
    <w:rsid w:val="004F4E6F"/>
    <w:rsid w:val="00512BD2"/>
    <w:rsid w:val="00550C8C"/>
    <w:rsid w:val="005729BA"/>
    <w:rsid w:val="005B7035"/>
    <w:rsid w:val="005C6BA0"/>
    <w:rsid w:val="005D3219"/>
    <w:rsid w:val="005E7129"/>
    <w:rsid w:val="005F3A06"/>
    <w:rsid w:val="006147BC"/>
    <w:rsid w:val="006723E9"/>
    <w:rsid w:val="006729CF"/>
    <w:rsid w:val="006767DF"/>
    <w:rsid w:val="006A7A93"/>
    <w:rsid w:val="006E287E"/>
    <w:rsid w:val="00721C8F"/>
    <w:rsid w:val="00780054"/>
    <w:rsid w:val="00786EB5"/>
    <w:rsid w:val="007F4C69"/>
    <w:rsid w:val="00817B95"/>
    <w:rsid w:val="008205DA"/>
    <w:rsid w:val="00831429"/>
    <w:rsid w:val="0086481B"/>
    <w:rsid w:val="008B7F19"/>
    <w:rsid w:val="00927ECA"/>
    <w:rsid w:val="00935C7B"/>
    <w:rsid w:val="009433CD"/>
    <w:rsid w:val="009D746C"/>
    <w:rsid w:val="00A07DE6"/>
    <w:rsid w:val="00A3222D"/>
    <w:rsid w:val="00A675B9"/>
    <w:rsid w:val="00A67846"/>
    <w:rsid w:val="00AE2904"/>
    <w:rsid w:val="00AE6EB4"/>
    <w:rsid w:val="00AF075B"/>
    <w:rsid w:val="00B07D8D"/>
    <w:rsid w:val="00B171B4"/>
    <w:rsid w:val="00BF4E46"/>
    <w:rsid w:val="00C52589"/>
    <w:rsid w:val="00CB1CAF"/>
    <w:rsid w:val="00CD4284"/>
    <w:rsid w:val="00CD5570"/>
    <w:rsid w:val="00D3341A"/>
    <w:rsid w:val="00DC56A4"/>
    <w:rsid w:val="00E32C1B"/>
    <w:rsid w:val="00EC57DD"/>
    <w:rsid w:val="00EE008B"/>
    <w:rsid w:val="00F20388"/>
    <w:rsid w:val="00F54017"/>
    <w:rsid w:val="00F821F3"/>
    <w:rsid w:val="00F94AAF"/>
    <w:rsid w:val="00FA4EE7"/>
    <w:rsid w:val="00FA64F2"/>
    <w:rsid w:val="00FA7145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FDC8-DE20-4B74-A3FD-AA508F6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4</cp:revision>
  <dcterms:created xsi:type="dcterms:W3CDTF">2020-10-21T10:15:00Z</dcterms:created>
  <dcterms:modified xsi:type="dcterms:W3CDTF">2020-12-14T13:07:00Z</dcterms:modified>
</cp:coreProperties>
</file>