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F0" w:rsidRPr="009950C1" w:rsidRDefault="009071F0" w:rsidP="009071F0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 xml:space="preserve">Dodatak II </w:t>
      </w:r>
    </w:p>
    <w:p w:rsidR="009071F0" w:rsidRDefault="009071F0" w:rsidP="009071F0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 xml:space="preserve">e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071F0" w:rsidRPr="009950C1" w:rsidRDefault="009071F0" w:rsidP="009071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>
        <w:rPr>
          <w:rFonts w:asciiTheme="majorHAnsi" w:eastAsia="Times New Roman" w:hAnsiTheme="majorHAnsi" w:cs="Times New Roman"/>
          <w:sz w:val="24"/>
          <w:szCs w:val="24"/>
        </w:rPr>
        <w:t>ERP sustava</w:t>
      </w:r>
    </w:p>
    <w:p w:rsidR="009071F0" w:rsidRPr="009950C1" w:rsidRDefault="009071F0" w:rsidP="009071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Theme="majorHAnsi" w:eastAsia="Times New Roman" w:hAnsiTheme="majorHAnsi" w:cs="Times New Roman"/>
          <w:sz w:val="24"/>
          <w:szCs w:val="24"/>
        </w:rPr>
        <w:t>A1.1</w:t>
      </w:r>
    </w:p>
    <w:p w:rsidR="009071F0" w:rsidRPr="009950C1" w:rsidRDefault="009071F0" w:rsidP="009071F0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071F0" w:rsidRPr="009950C1" w:rsidRDefault="009071F0" w:rsidP="009071F0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071F0" w:rsidRPr="009950C1" w:rsidRDefault="009071F0" w:rsidP="009071F0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9071F0" w:rsidRDefault="009071F0" w:rsidP="009071F0">
      <w:pPr>
        <w:rPr>
          <w:rFonts w:asciiTheme="majorHAnsi" w:eastAsia="Times New Roman" w:hAnsiTheme="majorHAnsi" w:cs="Times New Roman"/>
          <w:sz w:val="20"/>
          <w:szCs w:val="20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EC1401" w:rsidRPr="00BB0EE5" w:rsidRDefault="00EC1401" w:rsidP="00EC1401">
      <w:pPr>
        <w:spacing w:after="0" w:line="240" w:lineRule="auto"/>
        <w:rPr>
          <w:bCs/>
          <w:sz w:val="24"/>
          <w:szCs w:val="24"/>
          <w:lang w:bidi="hr-HR"/>
        </w:rPr>
      </w:pPr>
    </w:p>
    <w:p w:rsidR="00EC1401" w:rsidRPr="009B5AB3" w:rsidRDefault="00EC1401" w:rsidP="00EC1401">
      <w:pPr>
        <w:spacing w:after="0" w:line="240" w:lineRule="auto"/>
        <w:ind w:left="567" w:hanging="567"/>
        <w:rPr>
          <w:bCs/>
          <w:lang w:bidi="hr-HR"/>
        </w:rPr>
      </w:pPr>
      <w:r w:rsidRPr="009B5AB3">
        <w:rPr>
          <w:bCs/>
          <w:lang w:bidi="hr-HR"/>
        </w:rPr>
        <w:t>Kolone 1-2 ispunjava Naručitelj – već su popunjene od strane Naručitelja</w:t>
      </w:r>
    </w:p>
    <w:p w:rsidR="00EC1401" w:rsidRPr="009B5AB3" w:rsidRDefault="00EC1401" w:rsidP="00EC1401">
      <w:pPr>
        <w:spacing w:after="0" w:line="240" w:lineRule="auto"/>
        <w:ind w:left="567" w:hanging="567"/>
        <w:rPr>
          <w:b/>
          <w:bCs/>
          <w:u w:val="single"/>
          <w:lang w:bidi="hr-HR"/>
        </w:rPr>
      </w:pPr>
      <w:r w:rsidRPr="009B5AB3">
        <w:rPr>
          <w:b/>
          <w:bCs/>
          <w:u w:val="single"/>
          <w:lang w:bidi="hr-HR"/>
        </w:rPr>
        <w:t>Kolone 3-4 ispunjava Ponuditelj</w:t>
      </w:r>
    </w:p>
    <w:p w:rsidR="00EC1401" w:rsidRPr="009B5AB3" w:rsidRDefault="00EC1401" w:rsidP="00EC1401">
      <w:pPr>
        <w:spacing w:after="0" w:line="240" w:lineRule="auto"/>
        <w:ind w:left="567" w:hanging="567"/>
        <w:rPr>
          <w:bCs/>
          <w:lang w:bidi="hr-HR"/>
        </w:rPr>
      </w:pPr>
    </w:p>
    <w:p w:rsidR="00EC1401" w:rsidRPr="009B5AB3" w:rsidRDefault="00EC1401" w:rsidP="00EC1401">
      <w:pPr>
        <w:spacing w:after="0" w:line="240" w:lineRule="auto"/>
        <w:rPr>
          <w:bCs/>
          <w:lang w:bidi="hr-HR"/>
        </w:rPr>
      </w:pPr>
      <w:r w:rsidRPr="009B5AB3">
        <w:rPr>
          <w:bCs/>
          <w:lang w:bidi="hr-HR"/>
        </w:rPr>
        <w:t>Ponuđači su dužni ispuniti predloške na sljedećim stranicama:</w:t>
      </w:r>
    </w:p>
    <w:p w:rsidR="00EC1401" w:rsidRPr="009B5AB3" w:rsidRDefault="00EC1401" w:rsidP="00EC1401">
      <w:pPr>
        <w:keepNext/>
        <w:numPr>
          <w:ilvl w:val="0"/>
          <w:numId w:val="1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lang w:bidi="hr-HR"/>
        </w:rPr>
      </w:pPr>
      <w:r w:rsidRPr="009B5AB3">
        <w:rPr>
          <w:bCs/>
          <w:lang w:bidi="hr-HR"/>
        </w:rPr>
        <w:t>Kolona 2 je ispunjena od strane naručitelja i prikazuje tražene tehničke specifikacije (nije dozvoljena modifikacija istih od strane ponuđača),</w:t>
      </w:r>
    </w:p>
    <w:p w:rsidR="00EC1401" w:rsidRPr="009B5AB3" w:rsidRDefault="00EC1401" w:rsidP="00EC1401">
      <w:pPr>
        <w:keepNext/>
        <w:numPr>
          <w:ilvl w:val="0"/>
          <w:numId w:val="1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lang w:bidi="hr-HR"/>
        </w:rPr>
      </w:pPr>
      <w:r w:rsidRPr="009B5AB3">
        <w:rPr>
          <w:bCs/>
          <w:lang w:bidi="hr-HR"/>
        </w:rPr>
        <w:t>Kolonu 3 ispunjava ponuditelj sa detaljima ponuđene robe</w:t>
      </w:r>
      <w:r>
        <w:rPr>
          <w:bCs/>
          <w:lang w:bidi="hr-HR"/>
        </w:rPr>
        <w:t xml:space="preserve"> i usluge</w:t>
      </w:r>
      <w:r w:rsidRPr="009B5AB3">
        <w:rPr>
          <w:bCs/>
          <w:lang w:bidi="hr-HR"/>
        </w:rPr>
        <w:t xml:space="preserve"> (npr. riječi “da” ili “ne” nisu dovoljne) – obvezna kolona</w:t>
      </w:r>
    </w:p>
    <w:p w:rsidR="00EC1401" w:rsidRPr="009B5AB3" w:rsidRDefault="00EC1401" w:rsidP="00EC1401">
      <w:pPr>
        <w:keepNext/>
        <w:numPr>
          <w:ilvl w:val="0"/>
          <w:numId w:val="1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lang w:bidi="hr-HR"/>
        </w:rPr>
      </w:pPr>
      <w:r w:rsidRPr="009B5AB3">
        <w:rPr>
          <w:bCs/>
          <w:lang w:bidi="hr-HR"/>
        </w:rPr>
        <w:t>Kolona 4 omogućava ponuditelju unos komentara na svoju predloženu robu, te upute za popratnu dokumentaciju ponuđenih stavki – opcionalna kolona</w:t>
      </w:r>
    </w:p>
    <w:p w:rsidR="00EC1401" w:rsidRPr="00C45B69" w:rsidRDefault="00EC1401" w:rsidP="00EC1401">
      <w:pPr>
        <w:tabs>
          <w:tab w:val="left" w:pos="567"/>
        </w:tabs>
        <w:rPr>
          <w:bCs/>
          <w:lang w:bidi="hr-HR"/>
        </w:rPr>
      </w:pPr>
      <w:r w:rsidRPr="009B5AB3">
        <w:rPr>
          <w:bCs/>
          <w:lang w:bidi="hr-HR"/>
        </w:rPr>
        <w:t>Ponuda mora biti dovoljno jasna kako bi Odbor za ocjenu ponuda mogao n</w:t>
      </w:r>
      <w:r>
        <w:rPr>
          <w:bCs/>
          <w:lang w:bidi="hr-HR"/>
        </w:rPr>
        <w:t>a</w:t>
      </w:r>
      <w:r w:rsidRPr="009B5AB3">
        <w:rPr>
          <w:bCs/>
          <w:lang w:bidi="hr-HR"/>
        </w:rPr>
        <w:t>praviti jednostavnu usporedbu između traženih i ponuđenih specifikacija.</w:t>
      </w:r>
    </w:p>
    <w:p w:rsidR="00EC1401" w:rsidRDefault="00EC1401" w:rsidP="00EC1401">
      <w:pPr>
        <w:tabs>
          <w:tab w:val="left" w:pos="567"/>
        </w:tabs>
        <w:spacing w:after="0"/>
        <w:rPr>
          <w:b/>
          <w:bCs/>
          <w:sz w:val="28"/>
          <w:szCs w:val="28"/>
          <w:lang w:bidi="hr-HR"/>
        </w:rPr>
      </w:pPr>
    </w:p>
    <w:p w:rsidR="009071F0" w:rsidRDefault="009071F0" w:rsidP="00EC1401">
      <w:pPr>
        <w:tabs>
          <w:tab w:val="left" w:pos="567"/>
        </w:tabs>
        <w:spacing w:after="0"/>
        <w:rPr>
          <w:b/>
          <w:bCs/>
          <w:sz w:val="28"/>
          <w:szCs w:val="28"/>
          <w:lang w:bidi="hr-HR"/>
        </w:rPr>
      </w:pPr>
    </w:p>
    <w:p w:rsidR="009071F0" w:rsidRDefault="009071F0" w:rsidP="00EC1401">
      <w:pPr>
        <w:tabs>
          <w:tab w:val="left" w:pos="567"/>
        </w:tabs>
        <w:spacing w:after="0"/>
        <w:rPr>
          <w:b/>
          <w:bCs/>
          <w:sz w:val="28"/>
          <w:szCs w:val="28"/>
          <w:lang w:bidi="hr-HR"/>
        </w:rPr>
      </w:pPr>
    </w:p>
    <w:p w:rsidR="00EC1401" w:rsidRDefault="00EC1401" w:rsidP="00EC1401">
      <w:pPr>
        <w:tabs>
          <w:tab w:val="left" w:pos="567"/>
        </w:tabs>
        <w:spacing w:after="0"/>
        <w:rPr>
          <w:b/>
          <w:bCs/>
          <w:color w:val="0912BF"/>
          <w:sz w:val="24"/>
          <w:szCs w:val="24"/>
          <w:lang w:bidi="hr-HR"/>
        </w:rPr>
      </w:pPr>
      <w:r>
        <w:rPr>
          <w:b/>
          <w:bCs/>
          <w:noProof/>
          <w:sz w:val="24"/>
          <w:szCs w:val="24"/>
          <w:lang w:bidi="hr-HR"/>
        </w:rPr>
        <w:lastRenderedPageBreak/>
        <w:t>ERP sustav</w:t>
      </w:r>
    </w:p>
    <w:p w:rsidR="00EC1401" w:rsidRDefault="00EC1401" w:rsidP="00EC1401">
      <w:pPr>
        <w:tabs>
          <w:tab w:val="left" w:pos="567"/>
        </w:tabs>
        <w:spacing w:after="0"/>
        <w:contextualSpacing/>
        <w:jc w:val="both"/>
        <w:rPr>
          <w:bCs/>
          <w:lang w:bidi="hr-HR"/>
        </w:rPr>
      </w:pPr>
      <w:r>
        <w:rPr>
          <w:b/>
          <w:bCs/>
          <w:noProof/>
          <w:sz w:val="24"/>
          <w:szCs w:val="24"/>
          <w:lang w:bidi="hr-HR"/>
        </w:rPr>
        <w:t>Napomena</w:t>
      </w:r>
      <w:r w:rsidRPr="00767547">
        <w:rPr>
          <w:b/>
          <w:bCs/>
          <w:noProof/>
          <w:lang w:bidi="hr-HR"/>
        </w:rPr>
        <w:t xml:space="preserve">: </w:t>
      </w:r>
      <w:r w:rsidRPr="00767547">
        <w:rPr>
          <w:bCs/>
          <w:lang w:bidi="hr-HR"/>
        </w:rPr>
        <w:t xml:space="preserve">Za sve norme, tipove, robne marke i modele navedene u </w:t>
      </w:r>
      <w:r>
        <w:rPr>
          <w:bCs/>
          <w:lang w:bidi="hr-HR"/>
        </w:rPr>
        <w:t>tehničkim specifikacijama</w:t>
      </w:r>
      <w:r w:rsidRPr="00767547">
        <w:rPr>
          <w:bCs/>
          <w:lang w:bidi="hr-HR"/>
        </w:rPr>
        <w:t xml:space="preserve"> primjenjuje se „ili jednakovrijedno“.</w:t>
      </w:r>
    </w:p>
    <w:p w:rsidR="00EC1401" w:rsidRDefault="00EC1401" w:rsidP="00EC1401">
      <w:pPr>
        <w:tabs>
          <w:tab w:val="left" w:pos="567"/>
        </w:tabs>
        <w:spacing w:after="0"/>
        <w:contextualSpacing/>
        <w:jc w:val="both"/>
        <w:rPr>
          <w:bCs/>
          <w:sz w:val="24"/>
          <w:szCs w:val="24"/>
          <w:lang w:bidi="hr-HR"/>
        </w:rPr>
      </w:pPr>
    </w:p>
    <w:tbl>
      <w:tblPr>
        <w:tblW w:w="129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4"/>
        <w:gridCol w:w="4382"/>
        <w:gridCol w:w="4961"/>
        <w:gridCol w:w="2581"/>
      </w:tblGrid>
      <w:tr w:rsidR="00EC1401" w:rsidRPr="00BB0EE5" w:rsidTr="00E74BDE">
        <w:trPr>
          <w:trHeight w:val="525"/>
        </w:trPr>
        <w:tc>
          <w:tcPr>
            <w:tcW w:w="1034" w:type="dxa"/>
            <w:shd w:val="clear" w:color="auto" w:fill="F2F2F2" w:themeFill="background1" w:themeFillShade="F2"/>
            <w:vAlign w:val="center"/>
            <w:hideMark/>
          </w:tcPr>
          <w:p w:rsidR="00EC1401" w:rsidRPr="00BB0EE5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B0EE5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Redni broj</w:t>
            </w:r>
          </w:p>
          <w:p w:rsidR="00EC1401" w:rsidRPr="00BB0EE5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382" w:type="dxa"/>
            <w:shd w:val="clear" w:color="auto" w:fill="F2F2F2" w:themeFill="background1" w:themeFillShade="F2"/>
            <w:vAlign w:val="center"/>
            <w:hideMark/>
          </w:tcPr>
          <w:p w:rsidR="00EC1401" w:rsidRPr="00B934CA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hr-HR"/>
              </w:rPr>
            </w:pPr>
            <w:r w:rsidRPr="00B934CA">
              <w:rPr>
                <w:rFonts w:eastAsia="Times New Roman" w:cs="Arial"/>
                <w:b/>
                <w:bCs/>
                <w:lang w:eastAsia="hr-HR"/>
              </w:rPr>
              <w:t>Zahtjevane tehničkespecifikacije</w:t>
            </w:r>
          </w:p>
          <w:p w:rsidR="00EC1401" w:rsidRPr="00B934CA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hr-HR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  <w:vAlign w:val="center"/>
            <w:hideMark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B0EE5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Ponuđene tehničke specifikacije</w:t>
            </w:r>
          </w:p>
          <w:p w:rsidR="00EC1401" w:rsidRPr="00BB0EE5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F2F2F2" w:themeFill="background1" w:themeFillShade="F2"/>
            <w:vAlign w:val="center"/>
            <w:hideMark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B0EE5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Bilješke, primjedbe, upute na popratnu dokumentaciju</w:t>
            </w:r>
          </w:p>
          <w:p w:rsidR="00EC1401" w:rsidRPr="00BB0EE5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525"/>
        </w:trPr>
        <w:tc>
          <w:tcPr>
            <w:tcW w:w="12958" w:type="dxa"/>
            <w:gridSpan w:val="4"/>
            <w:shd w:val="clear" w:color="auto" w:fill="F2F2F2" w:themeFill="background1" w:themeFillShade="F2"/>
            <w:vAlign w:val="center"/>
          </w:tcPr>
          <w:p w:rsidR="00EC1401" w:rsidRPr="00B934CA" w:rsidRDefault="00EC1401" w:rsidP="00E74BD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/>
                <w:bCs/>
                <w:lang w:eastAsia="hr-HR"/>
              </w:rPr>
            </w:pPr>
            <w:r>
              <w:rPr>
                <w:rFonts w:eastAsia="Times New Roman" w:cs="Arial"/>
                <w:b/>
                <w:bCs/>
                <w:lang w:eastAsia="hr-HR"/>
              </w:rPr>
              <w:t>ERP sustav</w:t>
            </w:r>
          </w:p>
        </w:tc>
      </w:tr>
      <w:tr w:rsidR="00EC1401" w:rsidRPr="00BB0EE5" w:rsidTr="00E74BDE">
        <w:trPr>
          <w:trHeight w:val="525"/>
        </w:trPr>
        <w:tc>
          <w:tcPr>
            <w:tcW w:w="12958" w:type="dxa"/>
            <w:gridSpan w:val="4"/>
            <w:shd w:val="clear" w:color="auto" w:fill="F2F2F2" w:themeFill="background1" w:themeFillShade="F2"/>
            <w:vAlign w:val="center"/>
          </w:tcPr>
          <w:p w:rsidR="00EC1401" w:rsidRDefault="00EC1401" w:rsidP="00E74BDE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eastAsia="Times New Roman" w:cs="Arial"/>
                <w:b/>
                <w:bCs/>
                <w:lang w:eastAsia="hr-HR"/>
              </w:rPr>
            </w:pPr>
            <w:r>
              <w:rPr>
                <w:rFonts w:eastAsia="Times New Roman" w:cs="Arial"/>
                <w:b/>
                <w:bCs/>
                <w:lang w:eastAsia="hr-HR"/>
              </w:rPr>
              <w:t xml:space="preserve">  SNIMKA POSTOJEĆEG STANJA</w:t>
            </w:r>
          </w:p>
        </w:tc>
      </w:tr>
      <w:tr w:rsidR="00EC1401" w:rsidRPr="00BB0EE5" w:rsidTr="00E74BDE">
        <w:trPr>
          <w:trHeight w:val="1413"/>
        </w:trPr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EC1401" w:rsidRPr="003128AC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3128AC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382" w:type="dxa"/>
            <w:shd w:val="clear" w:color="auto" w:fill="auto"/>
            <w:noWrap/>
            <w:vAlign w:val="bottom"/>
            <w:hideMark/>
          </w:tcPr>
          <w:p w:rsidR="00EC1401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>
              <w:rPr>
                <w:rFonts w:ascii="Calibri" w:eastAsia="MS Minngs" w:hAnsi="Calibri" w:cs="Times New Roman"/>
              </w:rPr>
              <w:t xml:space="preserve">Potrebno izvršiti </w:t>
            </w:r>
            <w:r w:rsidRPr="00F75EC8">
              <w:rPr>
                <w:rFonts w:ascii="Calibri" w:eastAsia="MS Minngs" w:hAnsi="Calibri" w:cs="Times New Roman"/>
              </w:rPr>
              <w:t xml:space="preserve">detaljnu snimku stanja postojećeg aplikativnog rješenja te kreirati dokument o aktualnom stanju informatizacije promatranih poslovnih područja. </w:t>
            </w:r>
          </w:p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</w:p>
          <w:p w:rsidR="00EC1401" w:rsidRPr="00B934CA" w:rsidRDefault="00EC1401" w:rsidP="00E74BDE">
            <w:pPr>
              <w:pStyle w:val="Default"/>
              <w:rPr>
                <w:rFonts w:eastAsia="Times New Roman"/>
                <w:lang w:eastAsia="hr-HR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Pr="00BB0EE5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  <w:hideMark/>
          </w:tcPr>
          <w:p w:rsidR="00EC1401" w:rsidRPr="00BB0EE5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2958" w:type="dxa"/>
            <w:gridSpan w:val="4"/>
            <w:shd w:val="clear" w:color="auto" w:fill="F2F2F2" w:themeFill="background1" w:themeFillShade="F2"/>
            <w:noWrap/>
            <w:vAlign w:val="bottom"/>
          </w:tcPr>
          <w:p w:rsidR="00EC1401" w:rsidRPr="00B934CA" w:rsidRDefault="00EC1401" w:rsidP="00E74BDE">
            <w:pPr>
              <w:spacing w:after="0" w:line="240" w:lineRule="auto"/>
            </w:pPr>
          </w:p>
          <w:p w:rsidR="00EC1401" w:rsidRPr="00E16D4B" w:rsidRDefault="00EC1401" w:rsidP="00E74BDE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r-HR"/>
              </w:rPr>
              <w:t>OSNOVNE FUNKCIONALNOSTI ERP SUSTAVA</w:t>
            </w: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Pr="003128AC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8C654C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 xml:space="preserve">Matični podaci –funkcionalnost mora sadržavati kompletnu elektronsku evidenciju podataka zajedničkih svim podsustavima i osigurati konzistentnost </w:t>
            </w:r>
            <w:r w:rsidRPr="008C654C">
              <w:rPr>
                <w:rFonts w:ascii="Calibri" w:eastAsia="MS Minngs" w:hAnsi="Calibri" w:cs="Times New Roman"/>
              </w:rPr>
              <w:t>podataka cjelovitog informacijskog sustava.</w:t>
            </w:r>
          </w:p>
          <w:p w:rsidR="00EC1401" w:rsidRPr="00B934CA" w:rsidRDefault="00EC1401" w:rsidP="00E74BDE">
            <w:pPr>
              <w:spacing w:after="0" w:line="240" w:lineRule="auto"/>
            </w:pPr>
          </w:p>
          <w:p w:rsidR="00EC1401" w:rsidRPr="00B934CA" w:rsidRDefault="00EC1401" w:rsidP="00E74BDE">
            <w:pPr>
              <w:spacing w:after="0" w:line="240" w:lineRule="auto"/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Pr="003128AC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2.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332253" w:rsidRDefault="00EC1401" w:rsidP="00E74BDE">
            <w:pPr>
              <w:spacing w:after="0" w:line="240" w:lineRule="auto"/>
              <w:rPr>
                <w:sz w:val="24"/>
                <w:szCs w:val="24"/>
              </w:rPr>
            </w:pPr>
            <w:r w:rsidRPr="00332253">
              <w:rPr>
                <w:rFonts w:ascii="Calibri" w:eastAsia="MS Minngs" w:hAnsi="Calibri"/>
                <w:sz w:val="24"/>
                <w:szCs w:val="24"/>
              </w:rPr>
              <w:t>Financijsko poslovanje – funkcionalnost mora omogućavati evidenciju i obradu financijskih dokumenata unutar poduzeća.  Funkcionalnost mora podržavati glavnu knjigu sa salda kontima, dnevnik knjiženja te omogućavati automatsko i ručno knjiženje poslovnih događaja. Mora biti podržana mogućnost da salda konti budu u domaćoj i stranoj valuti. Računovodstvene pomoćne knjige moraju biti integrirane u glavnu knjigu, bez dupliciranog unosa podataka. Funkcionalnost mora imati mogućnost automatskog knjiženja po postavljenim predlošcima. Funkcionalnost mora omogućavati upotrebu ključeva za raspodjelu troškova po postavljenim predlošcima. Funkcionalnost mora omogućavati a</w:t>
            </w:r>
            <w:r w:rsidR="00760122" w:rsidRPr="00760122">
              <w:rPr>
                <w:rFonts w:ascii="Calibri" w:eastAsia="MS Minngs" w:hAnsi="Calibri" w:cs="Times New Roman"/>
                <w:color w:val="000000"/>
                <w:sz w:val="24"/>
                <w:szCs w:val="24"/>
              </w:rPr>
              <w:t>utomatsko knjiženje primljenih i izdanih računa, obračuna PDV-a, plaća, putnih naloga i drugih osobnih primitaka i upotrebe materijalnih sredstava</w:t>
            </w:r>
            <w:r w:rsidRPr="00332253">
              <w:rPr>
                <w:rFonts w:ascii="Calibri" w:eastAsia="MS Minngs" w:hAnsi="Calibri"/>
                <w:color w:val="000000"/>
                <w:sz w:val="24"/>
                <w:szCs w:val="24"/>
              </w:rPr>
              <w:t xml:space="preserve"> u glavnu knjigu. Funkcionalnost mora omogućiti formiranje i ispis bruto-bilance. Funkcionalnost mora imati osnovne mogućnosti praćenja </w:t>
            </w:r>
            <w:r w:rsidRPr="00332253">
              <w:rPr>
                <w:rFonts w:ascii="Calibri" w:eastAsia="MS Minngs" w:hAnsi="Calibri"/>
                <w:color w:val="000000"/>
                <w:sz w:val="24"/>
                <w:szCs w:val="24"/>
              </w:rPr>
              <w:lastRenderedPageBreak/>
              <w:t>naplaćenosti računa, dugovanja kupaca, te mogućnost ispisa i slanje opomena</w:t>
            </w: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Pr="003128AC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3.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8C654C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8C654C">
              <w:rPr>
                <w:rFonts w:ascii="Calibri" w:eastAsia="MS Minngs" w:hAnsi="Calibri" w:cs="Times New Roman"/>
              </w:rPr>
              <w:t>Obračun PDV-a – funkcionalnost mora omogućavati praćenje poreznih evidencija u skladu s važećim zakonodavstvom te formiranje Knjige izdanih računa i primljenih avansa za domaća izdavanja i EU</w:t>
            </w:r>
            <w:r>
              <w:rPr>
                <w:rFonts w:ascii="Calibri" w:eastAsia="MS Minngs" w:hAnsi="Calibri" w:cs="Times New Roman"/>
              </w:rPr>
              <w:t>,</w:t>
            </w:r>
            <w:r w:rsidRPr="008C654C">
              <w:rPr>
                <w:rFonts w:ascii="Calibri" w:eastAsia="MS Minngs" w:hAnsi="Calibri" w:cs="Times New Roman"/>
              </w:rPr>
              <w:t xml:space="preserve"> te knjige primljenih i danih avansa za domaće nabave, EU i uvoz.Porezni obrazac na kraju obračunskog perioda se u programu mora oblikovati automatski. Mora biti omogućen izvoz u sustav ePorezne.</w:t>
            </w:r>
          </w:p>
          <w:p w:rsidR="00EC1401" w:rsidRPr="00B934CA" w:rsidRDefault="00EC1401" w:rsidP="00E74BDE">
            <w:pPr>
              <w:spacing w:after="0" w:line="240" w:lineRule="auto"/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Pr="003128AC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Robno/Materijalno poslovanje – podsustav treba unaprijediti poslovne procese nabave, prodaje, robnog poslovanja, proizvodnje i vođenja skladišta.</w:t>
            </w:r>
          </w:p>
          <w:p w:rsidR="00EC1401" w:rsidRPr="00B934CA" w:rsidRDefault="00EC1401" w:rsidP="00E74BDE">
            <w:pPr>
              <w:spacing w:after="0" w:line="240" w:lineRule="auto"/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396C00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396C00">
              <w:rPr>
                <w:rFonts w:ascii="Calibri" w:eastAsia="MS Minngs" w:hAnsi="Calibri" w:cs="Times New Roman"/>
              </w:rPr>
              <w:t>Mogućnost direktne veze između prodaje</w:t>
            </w:r>
            <w:r>
              <w:rPr>
                <w:rFonts w:ascii="Calibri" w:eastAsia="MS Minngs" w:hAnsi="Calibri" w:cs="Times New Roman"/>
              </w:rPr>
              <w:t xml:space="preserve"> i </w:t>
            </w:r>
            <w:r w:rsidRPr="00396C00">
              <w:rPr>
                <w:rFonts w:ascii="Calibri" w:eastAsia="MS Minngs" w:hAnsi="Calibri" w:cs="Times New Roman"/>
              </w:rPr>
              <w:t>narudžbenica i proizvodnje</w:t>
            </w:r>
          </w:p>
          <w:p w:rsidR="00EC1401" w:rsidRPr="00B934CA" w:rsidRDefault="00EC1401" w:rsidP="00E74BDE">
            <w:pPr>
              <w:spacing w:after="0" w:line="240" w:lineRule="auto"/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396C00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396C00">
              <w:rPr>
                <w:rFonts w:ascii="Calibri" w:eastAsia="MS Minngs" w:hAnsi="Calibri" w:cs="Times New Roman"/>
              </w:rPr>
              <w:t xml:space="preserve">Kadrovska evidencija i obračun plaće – </w:t>
            </w:r>
            <w:r>
              <w:rPr>
                <w:rFonts w:ascii="Calibri" w:eastAsia="MS Minngs" w:hAnsi="Calibri" w:cs="Times New Roman"/>
              </w:rPr>
              <w:t>sustav</w:t>
            </w:r>
            <w:r w:rsidRPr="00396C00">
              <w:rPr>
                <w:rFonts w:ascii="Calibri" w:eastAsia="MS Minngs" w:hAnsi="Calibri" w:cs="Times New Roman"/>
              </w:rPr>
              <w:t xml:space="preserve"> treba unaprijediti poslovne funkcije upravljanja ljudskim potencijalima, podržati vođenje evidencije svih </w:t>
            </w:r>
            <w:r w:rsidRPr="00396C00">
              <w:rPr>
                <w:rFonts w:ascii="Calibri" w:eastAsia="MS Minngs" w:hAnsi="Calibri" w:cs="Times New Roman"/>
              </w:rPr>
              <w:lastRenderedPageBreak/>
              <w:t>zaposlenih u poduzeću te obračun plaća po zadanim parametrima obračuna</w:t>
            </w:r>
            <w:r w:rsidR="00E4404D">
              <w:rPr>
                <w:rFonts w:ascii="Calibri" w:eastAsia="MS Minngs" w:hAnsi="Calibri" w:cs="Times New Roman"/>
              </w:rPr>
              <w:t xml:space="preserve">. Kadrovska evidencija mora omogućiti neograničen broj registracijskih i pristupnih točaka za evidenciju dolaska i prisutnosti djelatnika putem RFID kartice i prepoznavanja lica. </w:t>
            </w:r>
          </w:p>
          <w:p w:rsidR="00EC1401" w:rsidRPr="00B934CA" w:rsidRDefault="00EC1401" w:rsidP="00E74BDE">
            <w:pPr>
              <w:spacing w:after="0" w:line="240" w:lineRule="auto"/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7.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572292" w:rsidRDefault="00EC1401" w:rsidP="00E74BDE">
            <w:pPr>
              <w:spacing w:after="0" w:line="240" w:lineRule="auto"/>
              <w:rPr>
                <w:rFonts w:ascii="Calibri" w:eastAsia="MS Minngs" w:hAnsi="Calibri" w:cs="Times New Roman"/>
                <w:sz w:val="24"/>
                <w:szCs w:val="24"/>
              </w:rPr>
            </w:pPr>
            <w:r w:rsidRPr="00332253">
              <w:rPr>
                <w:rFonts w:ascii="Calibri" w:eastAsia="MS Minngs" w:hAnsi="Calibri" w:cs="Times New Roman"/>
                <w:sz w:val="24"/>
                <w:szCs w:val="24"/>
              </w:rPr>
              <w:t>Kadrovska evidencija i obračun plaće mora sadržavati sljedeće funkcionalne cjeline: Kadrovska</w:t>
            </w:r>
            <w:r w:rsidR="00760122" w:rsidRPr="00760122">
              <w:rPr>
                <w:rFonts w:ascii="Calibri" w:eastAsia="MS Minngs" w:hAnsi="Calibri" w:cs="Times New Roman"/>
                <w:sz w:val="24"/>
                <w:szCs w:val="24"/>
              </w:rPr>
              <w:t xml:space="preserve"> evidencija i Obračun plaća.</w:t>
            </w:r>
          </w:p>
          <w:p w:rsidR="00572292" w:rsidRPr="00396C00" w:rsidRDefault="00572292" w:rsidP="00572292">
            <w:pPr>
              <w:pStyle w:val="Default"/>
              <w:rPr>
                <w:rFonts w:ascii="Calibri" w:eastAsia="MS Minngs" w:hAnsi="Calibri" w:cs="Times New Roman"/>
              </w:rPr>
            </w:pPr>
            <w:r>
              <w:rPr>
                <w:rFonts w:ascii="Calibri" w:eastAsia="MS Minngs" w:hAnsi="Calibri" w:cs="Times New Roman"/>
              </w:rPr>
              <w:t>Funkcionalna cjelina Kadrovska evidencija mora omogućiti</w:t>
            </w:r>
            <w:r w:rsidR="00F51CE0">
              <w:rPr>
                <w:rFonts w:ascii="Calibri" w:eastAsia="MS Minngs" w:hAnsi="Calibri" w:cs="Times New Roman"/>
              </w:rPr>
              <w:t xml:space="preserve"> spajanje na</w:t>
            </w:r>
            <w:r>
              <w:rPr>
                <w:rFonts w:ascii="Calibri" w:eastAsia="MS Minngs" w:hAnsi="Calibri" w:cs="Times New Roman"/>
              </w:rPr>
              <w:t xml:space="preserve"> neograničen broj registracijski</w:t>
            </w:r>
            <w:r w:rsidR="00F51CE0">
              <w:rPr>
                <w:rFonts w:ascii="Calibri" w:eastAsia="MS Minngs" w:hAnsi="Calibri" w:cs="Times New Roman"/>
              </w:rPr>
              <w:t>h</w:t>
            </w:r>
            <w:r>
              <w:rPr>
                <w:rFonts w:ascii="Calibri" w:eastAsia="MS Minngs" w:hAnsi="Calibri" w:cs="Times New Roman"/>
              </w:rPr>
              <w:t xml:space="preserve"> i pristupnih točaka za evidenciju dolaska i prisutnosti djelatnika putem RFID kartice i prepoznavanja lica. </w:t>
            </w:r>
          </w:p>
          <w:p w:rsidR="00EC1401" w:rsidRPr="00332253" w:rsidRDefault="00EC1401" w:rsidP="00E74BDE">
            <w:pPr>
              <w:spacing w:after="0" w:line="240" w:lineRule="auto"/>
              <w:rPr>
                <w:sz w:val="24"/>
                <w:szCs w:val="24"/>
              </w:rPr>
            </w:pPr>
            <w:r w:rsidRPr="00332253">
              <w:rPr>
                <w:rFonts w:ascii="Calibri" w:eastAsia="MS Minngs" w:hAnsi="Calibri" w:cs="Times New Roman"/>
                <w:sz w:val="24"/>
                <w:szCs w:val="24"/>
              </w:rPr>
              <w:t xml:space="preserve">Funkcionalna cjelina Obračun plaća mora imati mogućnost obračuna redovitih plaća, ugovora o djelu, autorskih honorara te rada vježbenika, učenika i studenata. Funkcionalna cjelina Obračun plaća mora omogućavati automatsko knjiženje obračuna u glavnu knjigu. Funkcionalna cjelina Obračun plaće mora omogućavati formiranje i ispis svih evidencija propisanih Pravilnikom o sadržaju obračuna plaće, naknade plaće ili </w:t>
            </w:r>
            <w:r w:rsidRPr="00332253">
              <w:rPr>
                <w:rFonts w:ascii="Calibri" w:eastAsia="MS Minngs" w:hAnsi="Calibri" w:cs="Times New Roman"/>
                <w:sz w:val="24"/>
                <w:szCs w:val="24"/>
              </w:rPr>
              <w:lastRenderedPageBreak/>
              <w:t>otpremnine (NN 32/15, 102/15 i 35/17). Funkcionalna cjelina Obračun plaća mora imati mogućnost kreiranja JOPPD obrasca i njegovog izvoza u sustav e-porezne te mogućnost kreiranja platnih naloga za isplatu plaća i drugih dohodaka</w:t>
            </w: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8.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396C00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396C00">
              <w:rPr>
                <w:rFonts w:ascii="Calibri" w:eastAsia="MS Minngs" w:hAnsi="Calibri" w:cs="Times New Roman"/>
              </w:rPr>
              <w:t>Dugotrajna imovina –treba optimizirati poslovni proces upravljanja dugotrajnom imovinom i sitnim inventarom. Mora podržavati vođenje knjigovodstva dugotrajne imovine i sitnog inventara, evidentiranje podataka o svim promjenama vrijednosti i količine osnovnih sredstava, praćenja kretanja sredstava po lokacijama i organizacijskim jedinicama, automatizirano financijsko knjiženje svih promjena na osnovnim sredstvima i inventuru sredstava bar kod čitačem.</w:t>
            </w:r>
          </w:p>
          <w:p w:rsidR="00EC1401" w:rsidRPr="00B934CA" w:rsidRDefault="00EC1401" w:rsidP="00E74BDE">
            <w:pPr>
              <w:spacing w:after="0" w:line="240" w:lineRule="auto"/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9.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396C00">
              <w:rPr>
                <w:rFonts w:ascii="Calibri" w:eastAsia="MS Minngs" w:hAnsi="Calibri" w:cs="Times New Roman"/>
              </w:rPr>
              <w:t xml:space="preserve">Putni nalozi- sustav mora omogućavati praćenje putovanja (također kružnih), na kojima su nastali troškovi u više valuta. </w:t>
            </w:r>
            <w:r>
              <w:rPr>
                <w:rFonts w:ascii="Calibri" w:eastAsia="MS Minngs" w:hAnsi="Calibri" w:cs="Times New Roman"/>
              </w:rPr>
              <w:t>F</w:t>
            </w:r>
            <w:r w:rsidRPr="00396C00">
              <w:rPr>
                <w:rFonts w:ascii="Calibri" w:eastAsia="MS Minngs" w:hAnsi="Calibri" w:cs="Times New Roman"/>
              </w:rPr>
              <w:t>unkcionalnost mora omogućiti različite načine isplate putnih naloga: gotovinski (akontacija i isplata) i virmanski.</w:t>
            </w:r>
            <w:r>
              <w:rPr>
                <w:rFonts w:ascii="Calibri" w:eastAsia="MS Minngs" w:hAnsi="Calibri" w:cs="Times New Roman"/>
              </w:rPr>
              <w:t>F</w:t>
            </w:r>
            <w:r w:rsidR="00760122" w:rsidRPr="00760122">
              <w:rPr>
                <w:rFonts w:ascii="Calibri" w:eastAsia="MS Minngs" w:hAnsi="Calibri" w:cs="Times New Roman"/>
              </w:rPr>
              <w:t xml:space="preserve">unkcionalnost mora omogućiti </w:t>
            </w:r>
            <w:r w:rsidR="00760122" w:rsidRPr="00760122">
              <w:rPr>
                <w:rFonts w:ascii="Calibri" w:eastAsia="MS Minngs" w:hAnsi="Calibri" w:cs="Times New Roman"/>
              </w:rPr>
              <w:lastRenderedPageBreak/>
              <w:t>a</w:t>
            </w:r>
            <w:r w:rsidRPr="00355E79">
              <w:rPr>
                <w:rFonts w:ascii="Calibri" w:eastAsia="MS Minngs" w:hAnsi="Calibri" w:cs="Times New Roman"/>
              </w:rPr>
              <w:t>utomatsko knjiženje putnih naloga u glavnu knjigu.</w:t>
            </w:r>
          </w:p>
          <w:p w:rsidR="00EC1401" w:rsidRPr="00B934CA" w:rsidRDefault="00EC1401" w:rsidP="00E74BDE">
            <w:pPr>
              <w:spacing w:after="0" w:line="240" w:lineRule="auto"/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10.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94265E">
              <w:rPr>
                <w:rFonts w:ascii="Calibri" w:eastAsia="MS Minngs" w:hAnsi="Calibri" w:cs="Times New Roman"/>
              </w:rPr>
              <w:t>Blagajničko poslovanje –</w:t>
            </w:r>
            <w:r>
              <w:rPr>
                <w:rFonts w:ascii="Calibri" w:eastAsia="MS Minngs" w:hAnsi="Calibri" w:cs="Times New Roman"/>
              </w:rPr>
              <w:t xml:space="preserve"> F</w:t>
            </w:r>
            <w:r w:rsidRPr="0094265E">
              <w:rPr>
                <w:rFonts w:ascii="Calibri" w:eastAsia="MS Minngs" w:hAnsi="Calibri" w:cs="Times New Roman"/>
              </w:rPr>
              <w:t>unkcionalnost mora omogućavati ispis uplatnica i isplatnic</w:t>
            </w:r>
            <w:r w:rsidRPr="000C0361">
              <w:rPr>
                <w:rFonts w:ascii="Calibri" w:eastAsia="MS Minngs" w:hAnsi="Calibri" w:cs="Times New Roman"/>
              </w:rPr>
              <w:t>a gotovine u kunama ili devizama, prati</w:t>
            </w:r>
            <w:r>
              <w:rPr>
                <w:rFonts w:ascii="Calibri" w:eastAsia="MS Minngs" w:hAnsi="Calibri" w:cs="Times New Roman"/>
              </w:rPr>
              <w:t>ti</w:t>
            </w:r>
            <w:r w:rsidRPr="000C0361">
              <w:rPr>
                <w:rFonts w:ascii="Calibri" w:eastAsia="MS Minngs" w:hAnsi="Calibri" w:cs="Times New Roman"/>
              </w:rPr>
              <w:t xml:space="preserve"> stanje u blagajni te automatski formira</w:t>
            </w:r>
            <w:r>
              <w:rPr>
                <w:rFonts w:ascii="Calibri" w:eastAsia="MS Minngs" w:hAnsi="Calibri" w:cs="Times New Roman"/>
              </w:rPr>
              <w:t>ti</w:t>
            </w:r>
            <w:r w:rsidRPr="000C0361">
              <w:rPr>
                <w:rFonts w:ascii="Calibri" w:eastAsia="MS Minngs" w:hAnsi="Calibri" w:cs="Times New Roman"/>
              </w:rPr>
              <w:t xml:space="preserve"> blagajnički dnevnik na kraju dana. </w:t>
            </w:r>
            <w:r>
              <w:rPr>
                <w:rFonts w:ascii="Calibri" w:eastAsia="MS Minngs" w:hAnsi="Calibri" w:cs="Times New Roman"/>
              </w:rPr>
              <w:t>Blagajnički dnevnik se automatski knjiži u glavnu knjigu.</w:t>
            </w:r>
          </w:p>
          <w:p w:rsidR="00EC1401" w:rsidRPr="00B934CA" w:rsidRDefault="00EC1401" w:rsidP="00E74BDE">
            <w:pPr>
              <w:spacing w:after="0" w:line="240" w:lineRule="auto"/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11.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880B91">
              <w:rPr>
                <w:rFonts w:ascii="Calibri" w:eastAsia="MS Minngs" w:hAnsi="Calibri" w:cs="Times New Roman"/>
              </w:rPr>
              <w:t>Obračun kamata –</w:t>
            </w:r>
            <w:r>
              <w:rPr>
                <w:rFonts w:ascii="Calibri" w:eastAsia="MS Minngs" w:hAnsi="Calibri" w:cs="Times New Roman"/>
              </w:rPr>
              <w:t xml:space="preserve">  F</w:t>
            </w:r>
            <w:r w:rsidRPr="00880B91">
              <w:rPr>
                <w:rFonts w:ascii="Calibri" w:eastAsia="MS Minngs" w:hAnsi="Calibri" w:cs="Times New Roman"/>
              </w:rPr>
              <w:t xml:space="preserve">unkcionalnost mora omogućiti obračun kamata po računima koji su već knjiženi. </w:t>
            </w:r>
            <w:r>
              <w:rPr>
                <w:rFonts w:ascii="Calibri" w:eastAsia="MS Minngs" w:hAnsi="Calibri" w:cs="Times New Roman"/>
              </w:rPr>
              <w:t xml:space="preserve">Funkcionalnost mora imati mogućnost automatskog </w:t>
            </w:r>
            <w:r w:rsidRPr="00880B91">
              <w:rPr>
                <w:rFonts w:ascii="Calibri" w:eastAsia="MS Minngs" w:hAnsi="Calibri" w:cs="Times New Roman"/>
              </w:rPr>
              <w:t>knjiž</w:t>
            </w:r>
            <w:r>
              <w:rPr>
                <w:rFonts w:ascii="Calibri" w:eastAsia="MS Minngs" w:hAnsi="Calibri" w:cs="Times New Roman"/>
              </w:rPr>
              <w:t>enjakamata u</w:t>
            </w:r>
            <w:r w:rsidRPr="00880B91">
              <w:rPr>
                <w:rFonts w:ascii="Calibri" w:eastAsia="MS Minngs" w:hAnsi="Calibri" w:cs="Times New Roman"/>
              </w:rPr>
              <w:t xml:space="preserve"> financijsko poslovanje.</w:t>
            </w:r>
          </w:p>
          <w:p w:rsidR="00EC1401" w:rsidRPr="00B934CA" w:rsidRDefault="00EC1401" w:rsidP="00E74BDE">
            <w:pPr>
              <w:spacing w:after="0" w:line="240" w:lineRule="auto"/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12.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880B91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880B91">
              <w:rPr>
                <w:rFonts w:ascii="Calibri" w:eastAsia="MS Minngs" w:hAnsi="Calibri" w:cs="Times New Roman"/>
              </w:rPr>
              <w:t>Fakturiranje</w:t>
            </w:r>
            <w:r>
              <w:rPr>
                <w:rFonts w:ascii="Calibri" w:eastAsia="MS Minngs" w:hAnsi="Calibri" w:cs="Times New Roman"/>
              </w:rPr>
              <w:t xml:space="preserve"> – sustav </w:t>
            </w:r>
            <w:r w:rsidRPr="00880B91">
              <w:rPr>
                <w:rFonts w:ascii="Calibri" w:eastAsia="MS Minngs" w:hAnsi="Calibri" w:cs="Times New Roman"/>
              </w:rPr>
              <w:t>koji omogućuje kunsko ili devizno fakturiranje usluga</w:t>
            </w:r>
            <w:r>
              <w:rPr>
                <w:rFonts w:ascii="Calibri" w:eastAsia="MS Minngs" w:hAnsi="Calibri" w:cs="Times New Roman"/>
              </w:rPr>
              <w:t xml:space="preserve"> u skladu sa svim pozitivnim propisima Republike Hrvatske</w:t>
            </w:r>
            <w:r w:rsidRPr="00880B91">
              <w:rPr>
                <w:rFonts w:ascii="Calibri" w:eastAsia="MS Minngs" w:hAnsi="Calibri" w:cs="Times New Roman"/>
              </w:rPr>
              <w:t xml:space="preserve">. </w:t>
            </w:r>
            <w:r>
              <w:rPr>
                <w:rFonts w:ascii="Calibri" w:eastAsia="MS Minngs" w:hAnsi="Calibri" w:cs="Times New Roman"/>
              </w:rPr>
              <w:t>Funkcionalnost mora omogućavati da se f</w:t>
            </w:r>
            <w:r w:rsidRPr="00880B91">
              <w:rPr>
                <w:rFonts w:ascii="Calibri" w:eastAsia="MS Minngs" w:hAnsi="Calibri" w:cs="Times New Roman"/>
              </w:rPr>
              <w:t>akture automatski prenose u knjige I</w:t>
            </w:r>
            <w:r>
              <w:rPr>
                <w:rFonts w:ascii="Calibri" w:eastAsia="MS Minngs" w:hAnsi="Calibri" w:cs="Times New Roman"/>
              </w:rPr>
              <w:t>zdanih računa</w:t>
            </w:r>
            <w:r w:rsidRPr="00880B91">
              <w:rPr>
                <w:rFonts w:ascii="Calibri" w:eastAsia="MS Minngs" w:hAnsi="Calibri" w:cs="Times New Roman"/>
              </w:rPr>
              <w:t xml:space="preserve"> i u financijsko </w:t>
            </w:r>
            <w:r>
              <w:rPr>
                <w:rFonts w:ascii="Calibri" w:eastAsia="MS Minngs" w:hAnsi="Calibri" w:cs="Times New Roman"/>
              </w:rPr>
              <w:t>knjigovodstvo</w:t>
            </w:r>
            <w:r w:rsidRPr="00880B91">
              <w:rPr>
                <w:rFonts w:ascii="Calibri" w:eastAsia="MS Minngs" w:hAnsi="Calibri" w:cs="Times New Roman"/>
              </w:rPr>
              <w:t>.</w:t>
            </w:r>
          </w:p>
          <w:p w:rsidR="00EC1401" w:rsidRPr="00B934CA" w:rsidRDefault="00EC1401" w:rsidP="00E74BDE">
            <w:pPr>
              <w:spacing w:after="0" w:line="240" w:lineRule="auto"/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13.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 xml:space="preserve">Poslovna Inteligencija- podsustav moraomogućavati izvještaje, analize, </w:t>
            </w:r>
            <w:r w:rsidRPr="00F75EC8">
              <w:rPr>
                <w:rFonts w:ascii="Calibri" w:eastAsia="MS Minngs" w:hAnsi="Calibri" w:cs="Times New Roman"/>
              </w:rPr>
              <w:lastRenderedPageBreak/>
              <w:t>nadzornu ploču i planiranje za različita područja poslovanja.</w:t>
            </w:r>
          </w:p>
          <w:p w:rsidR="00EC1401" w:rsidRPr="00E16D4B" w:rsidRDefault="00EC1401" w:rsidP="00E74BDE">
            <w:pPr>
              <w:spacing w:after="0" w:line="240" w:lineRule="auto"/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F51CE0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F51CE0" w:rsidRDefault="00F51CE0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 xml:space="preserve">14. 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F51CE0" w:rsidRPr="00F75EC8" w:rsidRDefault="00F51CE0" w:rsidP="00E74BDE">
            <w:pPr>
              <w:pStyle w:val="Default"/>
              <w:rPr>
                <w:rFonts w:ascii="Calibri" w:eastAsia="MS Minngs" w:hAnsi="Calibri" w:cs="Times New Roman"/>
              </w:rPr>
            </w:pPr>
            <w:r>
              <w:rPr>
                <w:rFonts w:ascii="Calibri" w:eastAsia="MS Minngs" w:hAnsi="Calibri" w:cs="Times New Roman"/>
              </w:rPr>
              <w:t>Upravljanje projektima – podsustav mora</w:t>
            </w:r>
            <w:r w:rsidR="00C7779A">
              <w:rPr>
                <w:rFonts w:ascii="Calibri" w:eastAsia="MS Minngs" w:hAnsi="Calibri" w:cs="Times New Roman"/>
              </w:rPr>
              <w:t xml:space="preserve"> omogućiti </w:t>
            </w: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F51CE0" w:rsidRDefault="00F51CE0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F51CE0" w:rsidRDefault="00F51CE0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2958" w:type="dxa"/>
            <w:gridSpan w:val="4"/>
            <w:shd w:val="clear" w:color="auto" w:fill="F2F2F2" w:themeFill="background1" w:themeFillShade="F2"/>
            <w:noWrap/>
            <w:vAlign w:val="bottom"/>
          </w:tcPr>
          <w:p w:rsidR="00EC1401" w:rsidRPr="00332253" w:rsidRDefault="00EC1401" w:rsidP="00E74BDE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eastAsia="Times New Roman" w:cs="Times New Roman"/>
                <w:b/>
                <w:lang w:eastAsia="hr-HR"/>
              </w:rPr>
            </w:pPr>
            <w:r>
              <w:rPr>
                <w:rFonts w:eastAsia="Times New Roman" w:cs="Times New Roman"/>
                <w:b/>
                <w:lang w:eastAsia="hr-HR"/>
              </w:rPr>
              <w:t>Dodatne mogućnosti ERP sustava</w:t>
            </w: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Pr="003128AC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Automatski uvoz:</w:t>
            </w:r>
          </w:p>
          <w:p w:rsidR="00EC1401" w:rsidRPr="00F75EC8" w:rsidRDefault="00EC1401" w:rsidP="00E74BDE">
            <w:pPr>
              <w:pStyle w:val="Default"/>
              <w:numPr>
                <w:ilvl w:val="0"/>
                <w:numId w:val="4"/>
              </w:numPr>
              <w:ind w:left="726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Tečaja</w:t>
            </w:r>
          </w:p>
          <w:p w:rsidR="00EC1401" w:rsidRPr="00F75EC8" w:rsidRDefault="00EC1401" w:rsidP="00E74BDE">
            <w:pPr>
              <w:pStyle w:val="Default"/>
              <w:numPr>
                <w:ilvl w:val="0"/>
                <w:numId w:val="4"/>
              </w:numPr>
              <w:ind w:left="726"/>
              <w:rPr>
                <w:rFonts w:ascii="Calibri" w:eastAsia="MS Minngs" w:hAnsi="Calibri" w:cs="Times New Roman"/>
              </w:rPr>
            </w:pPr>
            <w:r>
              <w:rPr>
                <w:rFonts w:ascii="Calibri" w:eastAsia="MS Minngs" w:hAnsi="Calibri" w:cs="Times New Roman"/>
              </w:rPr>
              <w:t xml:space="preserve">Informacija o Firmi/Tvrtki iz </w:t>
            </w:r>
            <w:r w:rsidRPr="00F75EC8">
              <w:rPr>
                <w:rFonts w:ascii="Calibri" w:eastAsia="MS Minngs" w:hAnsi="Calibri" w:cs="Times New Roman"/>
              </w:rPr>
              <w:t>Sudsk</w:t>
            </w:r>
            <w:r>
              <w:rPr>
                <w:rFonts w:ascii="Calibri" w:eastAsia="MS Minngs" w:hAnsi="Calibri" w:cs="Times New Roman"/>
              </w:rPr>
              <w:t>og</w:t>
            </w:r>
            <w:r w:rsidRPr="00F75EC8">
              <w:rPr>
                <w:rFonts w:ascii="Calibri" w:eastAsia="MS Minngs" w:hAnsi="Calibri" w:cs="Times New Roman"/>
              </w:rPr>
              <w:t xml:space="preserve"> registr</w:t>
            </w:r>
            <w:r>
              <w:rPr>
                <w:rFonts w:ascii="Calibri" w:eastAsia="MS Minngs" w:hAnsi="Calibri" w:cs="Times New Roman"/>
              </w:rPr>
              <w:t>a</w:t>
            </w:r>
          </w:p>
          <w:p w:rsidR="00EC1401" w:rsidRPr="00F75EC8" w:rsidRDefault="00EC1401" w:rsidP="00E74BDE">
            <w:pPr>
              <w:pStyle w:val="Default"/>
              <w:numPr>
                <w:ilvl w:val="0"/>
                <w:numId w:val="4"/>
              </w:numPr>
              <w:ind w:left="726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Izvodi</w:t>
            </w:r>
          </w:p>
          <w:p w:rsidR="00EC1401" w:rsidRPr="00B934CA" w:rsidRDefault="00EC1401" w:rsidP="00E74BDE">
            <w:pPr>
              <w:spacing w:after="0" w:line="240" w:lineRule="auto"/>
              <w:rPr>
                <w:rFonts w:cstheme="minorHAnsi"/>
                <w:lang w:eastAsia="hr-HR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Pr="00BB0EE5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Pr="00BB0EE5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Poveznica sa</w:t>
            </w:r>
            <w:r>
              <w:rPr>
                <w:rFonts w:ascii="Calibri" w:eastAsia="MS Minngs" w:hAnsi="Calibri" w:cs="Times New Roman"/>
              </w:rPr>
              <w:t xml:space="preserve"> e-</w:t>
            </w:r>
            <w:r w:rsidRPr="00F75EC8">
              <w:rPr>
                <w:rFonts w:ascii="Calibri" w:eastAsia="MS Minngs" w:hAnsi="Calibri" w:cs="Times New Roman"/>
              </w:rPr>
              <w:t>standardima razmijene dokumenata: Fina, Moj eRacun, EDI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Business intelligence uključen u poslovni sustav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Računovodstveni DMS (Document management sistem) uključen u poslovni sustav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Mogućnost ručnog i automatskog backupa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Otvorenost poslovnog sustava prema drugim sustavima te mogućnost integracije sa drugim sustavima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7.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Poslovni sustav koristi Microsoft SQL Server kao bazu podataka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Mogućnost rada sa udaljenih lokacija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9.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Mogućnost slanja kriptiranih platnih lista na email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10.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Mogućnost automatizacije (dizajn i korištenje) korisnički definiranih poslovnih procesa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11.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>
              <w:rPr>
                <w:rFonts w:ascii="Calibri" w:eastAsia="MS Minngs" w:hAnsi="Calibri" w:cs="Times New Roman"/>
              </w:rPr>
              <w:t xml:space="preserve">Mogućnost kreiranja </w:t>
            </w:r>
            <w:r w:rsidRPr="00F75EC8">
              <w:rPr>
                <w:rFonts w:ascii="Calibri" w:eastAsia="MS Minngs" w:hAnsi="Calibri" w:cs="Times New Roman"/>
              </w:rPr>
              <w:t>Workflow</w:t>
            </w:r>
            <w:r>
              <w:rPr>
                <w:rFonts w:ascii="Calibri" w:eastAsia="MS Minngs" w:hAnsi="Calibri" w:cs="Times New Roman"/>
              </w:rPr>
              <w:t>-a</w:t>
            </w:r>
            <w:r w:rsidRPr="00F75EC8">
              <w:rPr>
                <w:rFonts w:ascii="Calibri" w:eastAsia="MS Minngs" w:hAnsi="Calibri" w:cs="Times New Roman"/>
              </w:rPr>
              <w:t xml:space="preserve"> povezanih sa poslovnim procesima i dokumentima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12.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Izrada zaključka godine</w:t>
            </w:r>
          </w:p>
          <w:p w:rsidR="00EC1401" w:rsidRDefault="00EC1401" w:rsidP="00E74BDE">
            <w:pPr>
              <w:pStyle w:val="Default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13.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Licenciranje po konkurentnom korisniku (broj istovremenih korisnika)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4404D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4404D" w:rsidRDefault="00E4404D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4404D" w:rsidRPr="00F75EC8" w:rsidRDefault="00E4404D" w:rsidP="00E74BDE">
            <w:pPr>
              <w:pStyle w:val="Default"/>
              <w:rPr>
                <w:rFonts w:ascii="Calibri" w:eastAsia="MS Minngs" w:hAnsi="Calibri" w:cs="Times New Roman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4404D" w:rsidRDefault="00E4404D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4404D" w:rsidRDefault="00E4404D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4404D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4404D" w:rsidRDefault="00E4404D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4404D" w:rsidRPr="00F75EC8" w:rsidRDefault="00E4404D" w:rsidP="00E74BDE">
            <w:pPr>
              <w:pStyle w:val="Default"/>
              <w:rPr>
                <w:rFonts w:ascii="Calibri" w:eastAsia="MS Minngs" w:hAnsi="Calibri" w:cs="Times New Roman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4404D" w:rsidRDefault="00E4404D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4404D" w:rsidRDefault="00E4404D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2958" w:type="dxa"/>
            <w:gridSpan w:val="4"/>
            <w:shd w:val="clear" w:color="auto" w:fill="F2F2F2" w:themeFill="background1" w:themeFillShade="F2"/>
            <w:noWrap/>
            <w:vAlign w:val="bottom"/>
          </w:tcPr>
          <w:p w:rsidR="00EC1401" w:rsidRPr="00C634E9" w:rsidRDefault="00EC1401" w:rsidP="00E74BDE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eastAsia="Times New Roman" w:cs="Times New Roman"/>
                <w:b/>
                <w:lang w:eastAsia="hr-HR"/>
              </w:rPr>
            </w:pPr>
            <w:r>
              <w:rPr>
                <w:rFonts w:eastAsia="Times New Roman" w:cs="Times New Roman"/>
                <w:b/>
                <w:lang w:eastAsia="hr-HR"/>
              </w:rPr>
              <w:t>Tehnološke performanse ERP informacijskog sustava</w:t>
            </w: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Pr="003128AC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 xml:space="preserve">Sučelje: Standardno Windows sučelje i načela rada (po standardima sličnim MS </w:t>
            </w:r>
            <w:r w:rsidRPr="00F75EC8">
              <w:rPr>
                <w:rFonts w:ascii="Calibri" w:eastAsia="MS Minngs" w:hAnsi="Calibri" w:cs="Times New Roman"/>
              </w:rPr>
              <w:lastRenderedPageBreak/>
              <w:t>Office programima kako bi se postigla kompatibilnost sa postojećom IT okolinom)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2.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  <w:r w:rsidRPr="00F75EC8">
              <w:rPr>
                <w:rFonts w:ascii="Calibri" w:eastAsia="MS Minngs" w:hAnsi="Calibri" w:cs="Times New Roman"/>
              </w:rPr>
              <w:t>Mogućnost ispisa dokumenata na standardne pisače, POS pisače, termalne pisače za naljepnice, spremanje u PDF formatu, izvoz u MS Excel, kako bi se postigla kompatibilnost sa postojećom IT okolinom</w:t>
            </w: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Kontrola pristupa pojedinim podacima sukladno pravima prijavljenog korisnika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  <w:r w:rsidRPr="000D3806">
              <w:rPr>
                <w:rFonts w:ascii="Calibri" w:eastAsia="MS Minngs" w:hAnsi="Calibri" w:cs="Times New Roman"/>
                <w:color w:val="000000"/>
                <w:sz w:val="24"/>
                <w:szCs w:val="24"/>
                <w:lang w:val="fr-FR"/>
              </w:rPr>
              <w:t>Client-server arhitektura</w:t>
            </w: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Default="00EC1401" w:rsidP="00E74BDE">
            <w:pPr>
              <w:pStyle w:val="Default"/>
              <w:rPr>
                <w:rFonts w:ascii="Calibri" w:eastAsia="MS Minngs" w:hAnsi="Calibri" w:cs="Times New Roman"/>
              </w:rPr>
            </w:pPr>
            <w:r w:rsidRPr="00F75EC8">
              <w:rPr>
                <w:rFonts w:ascii="Calibri" w:eastAsia="MS Minngs" w:hAnsi="Calibri" w:cs="Times New Roman"/>
              </w:rPr>
              <w:t>Mogućnost samostalnog kreiranja poslovnih izvještaja i njihovo spremanje za buduća korištenja.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4404D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4404D" w:rsidRDefault="00E4404D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4404D" w:rsidRPr="00F75EC8" w:rsidRDefault="00E4404D" w:rsidP="00E74BDE">
            <w:pPr>
              <w:pStyle w:val="Default"/>
              <w:rPr>
                <w:rFonts w:ascii="Calibri" w:eastAsia="MS Minngs" w:hAnsi="Calibri" w:cs="Times New Roman"/>
              </w:rPr>
            </w:pPr>
            <w:r>
              <w:rPr>
                <w:rFonts w:ascii="Calibri" w:eastAsia="MS Minngs" w:hAnsi="Calibri" w:cs="Times New Roman"/>
              </w:rPr>
              <w:t>Mogućnost nadogradnje sa sustavom za terenski rad, registraciju sa vanjskim jedinicama, kao i pametnim telefonima (Android, iOS)</w:t>
            </w: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4404D" w:rsidRDefault="00E4404D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4404D" w:rsidRDefault="00E4404D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2958" w:type="dxa"/>
            <w:gridSpan w:val="4"/>
            <w:shd w:val="clear" w:color="auto" w:fill="F2F2F2" w:themeFill="background1" w:themeFillShade="F2"/>
            <w:noWrap/>
            <w:vAlign w:val="bottom"/>
          </w:tcPr>
          <w:p w:rsidR="00EC1401" w:rsidRPr="00C634E9" w:rsidRDefault="00EC1401" w:rsidP="00E74BDE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C634E9">
              <w:rPr>
                <w:rFonts w:eastAsia="Times New Roman" w:cs="Times New Roman"/>
                <w:b/>
                <w:bCs/>
                <w:sz w:val="24"/>
                <w:szCs w:val="24"/>
                <w:lang w:eastAsia="hr-HR"/>
              </w:rPr>
              <w:t>Implementacija ERP sustava</w:t>
            </w: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  <w:r w:rsidRPr="00F75EC8">
              <w:rPr>
                <w:rFonts w:ascii="Calibri" w:eastAsia="MS Minngs" w:hAnsi="Calibri"/>
              </w:rPr>
              <w:t>Instalacija ERP sustava na klijentska računala i server</w:t>
            </w: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rPr>
                <w:rFonts w:ascii="Calibri" w:eastAsia="MS Minngs" w:hAnsi="Calibri"/>
              </w:rPr>
            </w:pPr>
            <w:r w:rsidRPr="00F75EC8">
              <w:rPr>
                <w:rFonts w:ascii="Calibri" w:eastAsia="MS Minngs" w:hAnsi="Calibri"/>
              </w:rPr>
              <w:t xml:space="preserve">Transfer matičnih podataka – učitavanje podataka iz digitalnog formata u novi ERP sustav: Identi, subjekti, početno stanje, </w:t>
            </w:r>
            <w:r w:rsidRPr="00F75EC8">
              <w:rPr>
                <w:rFonts w:ascii="Calibri" w:eastAsia="MS Minngs" w:hAnsi="Calibri"/>
              </w:rPr>
              <w:lastRenderedPageBreak/>
              <w:t>osnovna sredstva i kadrovska evidencija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3.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Default="00EC1401" w:rsidP="00E74BDE">
            <w:pPr>
              <w:rPr>
                <w:rFonts w:ascii="Calibri" w:eastAsia="MS Minngs" w:hAnsi="Calibri"/>
              </w:rPr>
            </w:pPr>
            <w:r w:rsidRPr="00F75EC8">
              <w:rPr>
                <w:rFonts w:ascii="Calibri" w:eastAsia="MS Minngs" w:hAnsi="Calibri"/>
              </w:rPr>
              <w:t>Uvođenje projekta u rad- projekt uvođenja u rad će obuhvatiti poslovne procese: robno\materijalno poslovanje, financijsko poslovanje, kadrovska evidencija i obračun plaća, putni nalozi</w:t>
            </w:r>
            <w:r>
              <w:rPr>
                <w:rFonts w:ascii="Calibri" w:eastAsia="MS Minngs" w:hAnsi="Calibri"/>
              </w:rPr>
              <w:t>, blagajničko poslovanje, složena proizvodnja, poslovna inteligencija, Documentmanagement sistem</w:t>
            </w:r>
            <w:r w:rsidRPr="00F75EC8">
              <w:rPr>
                <w:rFonts w:ascii="Calibri" w:eastAsia="MS Minngs" w:hAnsi="Calibri"/>
              </w:rPr>
              <w:t xml:space="preserve"> te dugotrajna imovina.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Default="00EC1401" w:rsidP="00E74BDE">
            <w:pPr>
              <w:rPr>
                <w:rFonts w:ascii="Calibri" w:eastAsia="MS Minngs" w:hAnsi="Calibri"/>
              </w:rPr>
            </w:pPr>
            <w:r w:rsidRPr="00F75EC8">
              <w:rPr>
                <w:rFonts w:ascii="Calibri" w:eastAsia="MS Minngs" w:hAnsi="Calibri"/>
              </w:rPr>
              <w:t>Kroz radionice sa odgovornim korisnicima konzultanti isporučitelja usluga će obaviti parametrizaciju ERP sustava i verifikaciju poslovnih procesa. Svi verificirani poslovni procesi zajedno sa postavkama sustava predstavljat će projekt uvođenja u rad koji će biti osnova za izvođenje edukacija krajnjih korisnika.</w:t>
            </w:r>
          </w:p>
          <w:p w:rsidR="00EC1401" w:rsidRPr="00F75EC8" w:rsidRDefault="00EC1401" w:rsidP="00E74BDE">
            <w:pPr>
              <w:rPr>
                <w:rFonts w:ascii="Calibri" w:eastAsia="MS Minngs" w:hAnsi="Calibri"/>
              </w:rPr>
            </w:pPr>
          </w:p>
          <w:p w:rsidR="00EC1401" w:rsidRPr="00F75EC8" w:rsidRDefault="00EC1401" w:rsidP="00E74BDE">
            <w:pPr>
              <w:rPr>
                <w:rFonts w:ascii="Calibri" w:eastAsia="MS Minngs" w:hAnsi="Calibri"/>
              </w:rPr>
            </w:pPr>
            <w:r>
              <w:rPr>
                <w:rFonts w:ascii="Calibri" w:eastAsia="MS Minngs" w:hAnsi="Calibri"/>
              </w:rPr>
              <w:t>(</w:t>
            </w:r>
            <w:r w:rsidRPr="00F75EC8">
              <w:rPr>
                <w:rFonts w:ascii="Calibri" w:eastAsia="MS Minngs" w:hAnsi="Calibri"/>
              </w:rPr>
              <w:t xml:space="preserve">Terminski plan radionica usklađuju voditelj projekta Naručitelja i Ponuditelj usluga, pazeći da se radionice odvijaju pravovremeno, odnosno da ne prođe previše vremena od radionica do početka korištenja sustava u </w:t>
            </w:r>
            <w:r w:rsidRPr="00F75EC8">
              <w:rPr>
                <w:rFonts w:ascii="Calibri" w:eastAsia="MS Minngs" w:hAnsi="Calibri"/>
              </w:rPr>
              <w:lastRenderedPageBreak/>
              <w:t>praksi</w:t>
            </w:r>
            <w:r>
              <w:rPr>
                <w:rFonts w:ascii="Calibri" w:eastAsia="MS Minngs" w:hAnsi="Calibri"/>
              </w:rPr>
              <w:t>)</w:t>
            </w:r>
            <w:r w:rsidRPr="00F75EC8">
              <w:rPr>
                <w:rFonts w:ascii="Calibri" w:eastAsia="MS Minngs" w:hAnsi="Calibri"/>
              </w:rPr>
              <w:t>.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EC1401" w:rsidRPr="00BB0EE5" w:rsidTr="00E74BDE">
        <w:trPr>
          <w:trHeight w:val="300"/>
        </w:trPr>
        <w:tc>
          <w:tcPr>
            <w:tcW w:w="1034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5.</w:t>
            </w:r>
          </w:p>
        </w:tc>
        <w:tc>
          <w:tcPr>
            <w:tcW w:w="4382" w:type="dxa"/>
            <w:shd w:val="clear" w:color="auto" w:fill="auto"/>
            <w:noWrap/>
            <w:vAlign w:val="center"/>
          </w:tcPr>
          <w:p w:rsidR="00EC1401" w:rsidRPr="00F75EC8" w:rsidRDefault="00EC1401" w:rsidP="00E74BDE">
            <w:pPr>
              <w:rPr>
                <w:rFonts w:ascii="Calibri" w:eastAsia="MS Minngs" w:hAnsi="Calibri"/>
              </w:rPr>
            </w:pPr>
            <w:r w:rsidRPr="00F75EC8">
              <w:rPr>
                <w:rFonts w:ascii="Calibri" w:eastAsia="MS Minngs" w:hAnsi="Calibri"/>
              </w:rPr>
              <w:t>Ponuditelj mora osigurati minimalno tri (3) načina pružanja podrške korisnicima:</w:t>
            </w:r>
          </w:p>
          <w:p w:rsidR="00EC1401" w:rsidRPr="00F75EC8" w:rsidRDefault="00EC1401" w:rsidP="00E74BDE">
            <w:pPr>
              <w:rPr>
                <w:rFonts w:ascii="Calibri" w:eastAsia="MS Minngs" w:hAnsi="Calibri"/>
              </w:rPr>
            </w:pPr>
            <w:r w:rsidRPr="00F75EC8">
              <w:rPr>
                <w:rFonts w:ascii="Calibri" w:eastAsia="MS Minngs" w:hAnsi="Calibri"/>
              </w:rPr>
              <w:t>1) Putem interneta (Help Desk)</w:t>
            </w:r>
          </w:p>
          <w:p w:rsidR="00EC1401" w:rsidRPr="00F75EC8" w:rsidRDefault="00EC1401" w:rsidP="00E74BDE">
            <w:pPr>
              <w:rPr>
                <w:rFonts w:ascii="Calibri" w:eastAsia="MS Minngs" w:hAnsi="Calibri"/>
              </w:rPr>
            </w:pPr>
            <w:r w:rsidRPr="00F75EC8">
              <w:rPr>
                <w:rFonts w:ascii="Calibri" w:eastAsia="MS Minngs" w:hAnsi="Calibri"/>
              </w:rPr>
              <w:t>2) Putem e-maila</w:t>
            </w:r>
          </w:p>
          <w:p w:rsidR="00EC1401" w:rsidRPr="00F75EC8" w:rsidRDefault="00EC1401" w:rsidP="00E74BDE">
            <w:pPr>
              <w:rPr>
                <w:rFonts w:ascii="Calibri" w:eastAsia="MS Minngs" w:hAnsi="Calibri"/>
              </w:rPr>
            </w:pPr>
            <w:r w:rsidRPr="00F75EC8">
              <w:rPr>
                <w:rFonts w:ascii="Calibri" w:eastAsia="MS Minngs" w:hAnsi="Calibri"/>
              </w:rPr>
              <w:t>3) Putem telefona/mobitela</w:t>
            </w:r>
          </w:p>
          <w:p w:rsidR="00EC1401" w:rsidRPr="00F75EC8" w:rsidRDefault="00EC1401" w:rsidP="00E74BDE">
            <w:pPr>
              <w:rPr>
                <w:rFonts w:ascii="Calibri" w:eastAsia="MS Minngs" w:hAnsi="Calibri"/>
              </w:rPr>
            </w:pPr>
            <w:r w:rsidRPr="00F75EC8">
              <w:rPr>
                <w:rFonts w:ascii="Calibri" w:eastAsia="MS Minngs" w:hAnsi="Calibri"/>
              </w:rPr>
              <w:t>Vrijeme od</w:t>
            </w:r>
            <w:r>
              <w:rPr>
                <w:rFonts w:ascii="Calibri" w:eastAsia="MS Minngs" w:hAnsi="Calibri"/>
              </w:rPr>
              <w:t>a</w:t>
            </w:r>
            <w:r w:rsidRPr="00F75EC8">
              <w:rPr>
                <w:rFonts w:ascii="Calibri" w:eastAsia="MS Minngs" w:hAnsi="Calibri"/>
              </w:rPr>
              <w:t>ziva je najduži prihvatljivi vremenski period koji smije proteći od trenutka prijave problema do početka rješavanja problema. Vrijeme odziva radnim danom za rješavanje problema mora biti ugovorno definirano unutar 24 h od prijave problema.</w:t>
            </w:r>
          </w:p>
          <w:p w:rsidR="00EC1401" w:rsidRDefault="00EC1401" w:rsidP="00E74BD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1" w:type="dxa"/>
            <w:shd w:val="clear" w:color="auto" w:fill="auto"/>
            <w:noWrap/>
            <w:vAlign w:val="bottom"/>
          </w:tcPr>
          <w:p w:rsidR="00EC1401" w:rsidRDefault="00EC1401" w:rsidP="00E74BD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EC1401" w:rsidRDefault="00EC1401" w:rsidP="00EC1401">
      <w:pPr>
        <w:rPr>
          <w:bCs/>
          <w:sz w:val="24"/>
          <w:szCs w:val="24"/>
        </w:rPr>
      </w:pPr>
    </w:p>
    <w:p w:rsidR="009071F0" w:rsidRDefault="009071F0" w:rsidP="00EC140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ROK ISPORUKE: </w:t>
      </w:r>
    </w:p>
    <w:p w:rsidR="009071F0" w:rsidRDefault="009071F0" w:rsidP="009071F0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</w:p>
    <w:p w:rsidR="009071F0" w:rsidRPr="009950C1" w:rsidRDefault="009071F0" w:rsidP="009071F0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071F0" w:rsidRPr="009950C1" w:rsidRDefault="009071F0" w:rsidP="009071F0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071F0" w:rsidRPr="009950C1" w:rsidRDefault="009071F0" w:rsidP="009071F0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071F0" w:rsidRDefault="009071F0" w:rsidP="009071F0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9071F0" w:rsidRPr="009950C1" w:rsidRDefault="009071F0" w:rsidP="009071F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9071F0" w:rsidRPr="00DA2180" w:rsidRDefault="009071F0" w:rsidP="009071F0">
      <w:pPr>
        <w:tabs>
          <w:tab w:val="left" w:pos="567"/>
        </w:tabs>
        <w:spacing w:after="0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lastRenderedPageBreak/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9071F0" w:rsidRDefault="009071F0" w:rsidP="009071F0">
      <w:pPr>
        <w:tabs>
          <w:tab w:val="left" w:pos="567"/>
        </w:tabs>
        <w:spacing w:after="0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9071F0" w:rsidRPr="00DA2180" w:rsidRDefault="009071F0" w:rsidP="009071F0">
      <w:pPr>
        <w:tabs>
          <w:tab w:val="left" w:pos="567"/>
        </w:tabs>
        <w:spacing w:after="0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9071F0" w:rsidRPr="00DA2180" w:rsidRDefault="009071F0" w:rsidP="009071F0">
      <w:pPr>
        <w:tabs>
          <w:tab w:val="left" w:pos="567"/>
        </w:tabs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071F0" w:rsidRPr="009950C1" w:rsidRDefault="009071F0" w:rsidP="009071F0">
      <w:pPr>
        <w:tabs>
          <w:tab w:val="left" w:pos="567"/>
        </w:tabs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071F0" w:rsidRPr="009950C1" w:rsidSect="007C260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250" w:rsidRDefault="007D6250" w:rsidP="009071F0">
      <w:pPr>
        <w:spacing w:after="0" w:line="240" w:lineRule="auto"/>
      </w:pPr>
      <w:r>
        <w:separator/>
      </w:r>
    </w:p>
  </w:endnote>
  <w:endnote w:type="continuationSeparator" w:id="1">
    <w:p w:rsidR="007D6250" w:rsidRDefault="007D6250" w:rsidP="00907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250" w:rsidRDefault="007D6250" w:rsidP="009071F0">
      <w:pPr>
        <w:spacing w:after="0" w:line="240" w:lineRule="auto"/>
      </w:pPr>
      <w:r>
        <w:separator/>
      </w:r>
    </w:p>
  </w:footnote>
  <w:footnote w:type="continuationSeparator" w:id="1">
    <w:p w:rsidR="007D6250" w:rsidRDefault="007D6250" w:rsidP="00907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F0" w:rsidRDefault="009071F0" w:rsidP="009071F0">
    <w:pPr>
      <w:pStyle w:val="Header"/>
      <w:jc w:val="center"/>
    </w:pPr>
    <w:r w:rsidRPr="009071F0">
      <w:rPr>
        <w:noProof/>
        <w:lang w:eastAsia="hr-HR"/>
      </w:rPr>
      <w:drawing>
        <wp:inline distT="0" distB="0" distL="0" distR="0">
          <wp:extent cx="5753100" cy="107442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>
    <w:nsid w:val="26570D0D"/>
    <w:multiLevelType w:val="hybridMultilevel"/>
    <w:tmpl w:val="9B26974C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64EE4407"/>
    <w:multiLevelType w:val="hybridMultilevel"/>
    <w:tmpl w:val="E41A5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2A7C16"/>
    <w:multiLevelType w:val="multilevel"/>
    <w:tmpl w:val="8C6C7F38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u w:val="singl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401"/>
    <w:rsid w:val="00181620"/>
    <w:rsid w:val="0025356B"/>
    <w:rsid w:val="00572292"/>
    <w:rsid w:val="005E499E"/>
    <w:rsid w:val="006B6955"/>
    <w:rsid w:val="006F0D81"/>
    <w:rsid w:val="00760122"/>
    <w:rsid w:val="007D6250"/>
    <w:rsid w:val="009071F0"/>
    <w:rsid w:val="00917091"/>
    <w:rsid w:val="00A260AB"/>
    <w:rsid w:val="00AF4FF8"/>
    <w:rsid w:val="00C7779A"/>
    <w:rsid w:val="00DC011E"/>
    <w:rsid w:val="00E4404D"/>
    <w:rsid w:val="00EC1401"/>
    <w:rsid w:val="00EC36DA"/>
    <w:rsid w:val="00F21D70"/>
    <w:rsid w:val="00F51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401"/>
    <w:pPr>
      <w:ind w:left="720"/>
      <w:contextualSpacing/>
    </w:pPr>
  </w:style>
  <w:style w:type="paragraph" w:customStyle="1" w:styleId="Default">
    <w:name w:val="Default"/>
    <w:rsid w:val="00EC14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1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07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71F0"/>
  </w:style>
  <w:style w:type="paragraph" w:styleId="Footer">
    <w:name w:val="footer"/>
    <w:basedOn w:val="Normal"/>
    <w:link w:val="FooterChar"/>
    <w:uiPriority w:val="99"/>
    <w:semiHidden/>
    <w:unhideWhenUsed/>
    <w:rsid w:val="00907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71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Tezak</dc:creator>
  <cp:lastModifiedBy>Zde</cp:lastModifiedBy>
  <cp:revision>2</cp:revision>
  <dcterms:created xsi:type="dcterms:W3CDTF">2020-12-15T16:48:00Z</dcterms:created>
  <dcterms:modified xsi:type="dcterms:W3CDTF">2020-12-15T16:48:00Z</dcterms:modified>
</cp:coreProperties>
</file>