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1774A3"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proofErr w:type="gramStart"/>
            <w:r w:rsidR="00D31026" w:rsidRPr="00512BFF">
              <w:rPr>
                <w:rFonts w:ascii="Gill Sans MT" w:hAnsi="Gill Sans MT"/>
                <w:sz w:val="24"/>
                <w:szCs w:val="24"/>
                <w:lang w:val="en-GB"/>
              </w:rPr>
              <w:lastRenderedPageBreak/>
              <w:t>osiguranja</w:t>
            </w:r>
            <w:proofErr w:type="gramEnd"/>
            <w:r w:rsidR="00D31026" w:rsidRPr="00512BFF">
              <w:rPr>
                <w:rFonts w:ascii="Gill Sans MT" w:hAnsi="Gill Sans MT"/>
                <w:sz w:val="24"/>
                <w:szCs w:val="24"/>
                <w:lang w:val="en-GB"/>
              </w:rPr>
              <w:t xml:space="preserve">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 xml:space="preserve">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w:t>
            </w:r>
            <w:proofErr w:type="gramStart"/>
            <w:r>
              <w:rPr>
                <w:rFonts w:ascii="Gill Sans MT" w:hAnsi="Gill Sans MT"/>
                <w:sz w:val="24"/>
                <w:szCs w:val="24"/>
                <w:lang w:val="en-GB"/>
              </w:rPr>
              <w:t>ima</w:t>
            </w:r>
            <w:proofErr w:type="gramEnd"/>
            <w:r>
              <w:rPr>
                <w:rFonts w:ascii="Gill Sans MT" w:hAnsi="Gill Sans MT"/>
                <w:sz w:val="24"/>
                <w:szCs w:val="24"/>
                <w:lang w:val="en-GB"/>
              </w:rPr>
              <w:t xml:space="preserve">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 xml:space="preserve">olimo vas odgovor vezano na Javni natječaj za uspostavu reciklažnih dvorišta, referentni broj </w:t>
            </w:r>
            <w:proofErr w:type="gramStart"/>
            <w:r w:rsidRPr="008A766C">
              <w:rPr>
                <w:rFonts w:eastAsia="Calibri" w:cs="Arial"/>
                <w:szCs w:val="24"/>
                <w:lang w:val="en-GB"/>
              </w:rPr>
              <w:t>KK.06.3.1.16.,</w:t>
            </w:r>
            <w:proofErr w:type="gramEnd"/>
            <w:r w:rsidRPr="008A766C">
              <w:rPr>
                <w:rFonts w:eastAsia="Calibri" w:cs="Arial"/>
                <w:szCs w:val="24"/>
                <w:lang w:val="en-GB"/>
              </w:rPr>
              <w:t xml:space="preserve">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 xml:space="preserve">JLS-ovi koji imaju 3.000 stanovnika ili manje prema zadnjim podacima DZS-a za 2011. </w:t>
            </w:r>
            <w:proofErr w:type="gramStart"/>
            <w:r w:rsidRPr="00B13D69">
              <w:rPr>
                <w:rFonts w:ascii="Gill Sans MT" w:hAnsi="Gill Sans MT"/>
                <w:color w:val="212121"/>
                <w:sz w:val="24"/>
                <w:szCs w:val="24"/>
                <w:lang w:eastAsia="hr-HR"/>
              </w:rPr>
              <w:t>godinu</w:t>
            </w:r>
            <w:proofErr w:type="gramEnd"/>
            <w:r w:rsidRPr="00B13D69">
              <w:rPr>
                <w:rFonts w:ascii="Gill Sans MT" w:hAnsi="Gill Sans MT"/>
                <w:color w:val="212121"/>
                <w:sz w:val="24"/>
                <w:szCs w:val="24"/>
                <w:lang w:eastAsia="hr-HR"/>
              </w:rPr>
              <w:t xml:space="preserve">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w:t>
            </w:r>
            <w:proofErr w:type="gramStart"/>
            <w:r w:rsidRPr="00B13D69">
              <w:rPr>
                <w:rFonts w:ascii="Gill Sans MT" w:hAnsi="Gill Sans MT"/>
                <w:color w:val="212121"/>
                <w:sz w:val="24"/>
                <w:szCs w:val="24"/>
                <w:lang w:eastAsia="hr-HR"/>
              </w:rPr>
              <w:t>istog</w:t>
            </w:r>
            <w:proofErr w:type="gramEnd"/>
            <w:r w:rsidRPr="00B13D69">
              <w:rPr>
                <w:rFonts w:ascii="Gill Sans MT" w:hAnsi="Gill Sans MT"/>
                <w:color w:val="212121"/>
                <w:sz w:val="24"/>
                <w:szCs w:val="24"/>
                <w:lang w:eastAsia="hr-HR"/>
              </w:rPr>
              <w:t xml:space="preserve">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proofErr w:type="gramStart"/>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w:t>
            </w:r>
            <w:proofErr w:type="gramEnd"/>
            <w:r w:rsidRPr="00B13D69">
              <w:rPr>
                <w:rFonts w:ascii="Gill Sans MT" w:hAnsi="Gill Sans MT"/>
                <w:color w:val="212121"/>
                <w:sz w:val="24"/>
                <w:szCs w:val="24"/>
                <w:lang w:eastAsia="hr-HR"/>
              </w:rPr>
              <w:t xml:space="preserve"> Da li isto predstavlja zakonski minimum i da li je isto prihvatljivo za </w:t>
            </w:r>
            <w:proofErr w:type="gramStart"/>
            <w:r w:rsidRPr="00B13D69">
              <w:rPr>
                <w:rFonts w:ascii="Gill Sans MT" w:hAnsi="Gill Sans MT"/>
                <w:color w:val="212121"/>
                <w:sz w:val="24"/>
                <w:szCs w:val="24"/>
                <w:lang w:eastAsia="hr-HR"/>
              </w:rPr>
              <w:t>prijavu ?</w:t>
            </w:r>
            <w:proofErr w:type="gramEnd"/>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w:t>
            </w:r>
            <w:proofErr w:type="gramStart"/>
            <w:r w:rsidRPr="00B13D69">
              <w:rPr>
                <w:rFonts w:ascii="Gill Sans MT" w:hAnsi="Gill Sans MT"/>
                <w:color w:val="212121"/>
                <w:sz w:val="24"/>
                <w:szCs w:val="24"/>
                <w:lang w:eastAsia="hr-HR"/>
              </w:rPr>
              <w:t>označeno</w:t>
            </w:r>
            <w:proofErr w:type="gramEnd"/>
            <w:r w:rsidRPr="00B13D69">
              <w:rPr>
                <w:rFonts w:ascii="Gill Sans MT" w:hAnsi="Gill Sans MT"/>
                <w:color w:val="212121"/>
                <w:sz w:val="24"/>
                <w:szCs w:val="24"/>
                <w:lang w:eastAsia="hr-HR"/>
              </w:rPr>
              <w:t xml:space="preserve">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FE318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FE318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w:t>
            </w:r>
            <w:proofErr w:type="gramStart"/>
            <w:r>
              <w:rPr>
                <w:rFonts w:ascii="Gill Sans MT" w:hAnsi="Gill Sans MT"/>
                <w:color w:val="212121"/>
                <w:sz w:val="24"/>
                <w:szCs w:val="24"/>
                <w:lang w:eastAsia="hr-HR"/>
              </w:rPr>
              <w:t>i</w:t>
            </w:r>
            <w:proofErr w:type="gramEnd"/>
            <w:r>
              <w:rPr>
                <w:rFonts w:ascii="Gill Sans MT" w:hAnsi="Gill Sans MT"/>
                <w:color w:val="212121"/>
                <w:sz w:val="24"/>
                <w:szCs w:val="24"/>
                <w:lang w:eastAsia="hr-HR"/>
              </w:rPr>
              <w:t xml:space="preserve">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roofErr w:type="gramStart"/>
            <w:r>
              <w:rPr>
                <w:rFonts w:ascii="Gill Sans MT" w:hAnsi="Gill Sans MT"/>
                <w:color w:val="212121"/>
                <w:sz w:val="24"/>
                <w:szCs w:val="24"/>
                <w:lang w:eastAsia="hr-HR"/>
              </w:rPr>
              <w:t>..</w:t>
            </w:r>
            <w:proofErr w:type="gramEnd"/>
          </w:p>
        </w:tc>
        <w:tc>
          <w:tcPr>
            <w:tcW w:w="6946" w:type="dxa"/>
          </w:tcPr>
          <w:p w:rsidR="000F4AD1" w:rsidRPr="00BA45D8" w:rsidRDefault="000F4AD1" w:rsidP="00FE318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w:t>
            </w:r>
            <w:proofErr w:type="gramStart"/>
            <w:r w:rsidR="00EE22B7" w:rsidRPr="00BA45D8">
              <w:rPr>
                <w:rFonts w:ascii="Gill Sans MT" w:hAnsi="Gill Sans MT"/>
                <w:sz w:val="24"/>
                <w:szCs w:val="24"/>
                <w:lang w:val="en-GB"/>
              </w:rPr>
              <w:t>stavcima</w:t>
            </w:r>
            <w:proofErr w:type="gramEnd"/>
            <w:r w:rsidR="00EE22B7" w:rsidRPr="00BA45D8">
              <w:rPr>
                <w:rFonts w:ascii="Gill Sans MT" w:hAnsi="Gill Sans MT"/>
                <w:sz w:val="24"/>
                <w:szCs w:val="24"/>
                <w:lang w:val="en-GB"/>
              </w:rPr>
              <w:t xml:space="preserve"> 2. </w:t>
            </w:r>
            <w:proofErr w:type="gramStart"/>
            <w:r w:rsidR="00EE22B7" w:rsidRPr="00BA45D8">
              <w:rPr>
                <w:rFonts w:ascii="Gill Sans MT" w:hAnsi="Gill Sans MT"/>
                <w:sz w:val="24"/>
                <w:szCs w:val="24"/>
                <w:lang w:val="en-GB"/>
              </w:rPr>
              <w:t>i</w:t>
            </w:r>
            <w:proofErr w:type="gramEnd"/>
            <w:r w:rsidR="00EE22B7" w:rsidRPr="00BA45D8">
              <w:rPr>
                <w:rFonts w:ascii="Gill Sans MT" w:hAnsi="Gill Sans MT"/>
                <w:sz w:val="24"/>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w:t>
            </w:r>
            <w:r w:rsidR="00EE22B7" w:rsidRPr="00BA45D8">
              <w:rPr>
                <w:rFonts w:ascii="Gill Sans MT" w:hAnsi="Gill Sans MT"/>
                <w:sz w:val="24"/>
                <w:szCs w:val="24"/>
                <w:lang w:val="en-GB"/>
              </w:rPr>
              <w:lastRenderedPageBreak/>
              <w:t>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 xml:space="preserve">Minimalni broj RD ili mobilnih jedinica u odnosu na broj stanovnika u jednom JLS- u sukladno ZOGO-u, članku 35. </w:t>
            </w:r>
            <w:proofErr w:type="gramStart"/>
            <w:r w:rsidRPr="00BA45D8">
              <w:rPr>
                <w:i/>
                <w:szCs w:val="24"/>
                <w:lang w:val="en-GB"/>
              </w:rPr>
              <w:t>stavcima</w:t>
            </w:r>
            <w:proofErr w:type="gramEnd"/>
            <w:r w:rsidRPr="00BA45D8">
              <w:rPr>
                <w:i/>
                <w:szCs w:val="24"/>
                <w:lang w:val="en-GB"/>
              </w:rPr>
              <w:t xml:space="preserve"> 2. </w:t>
            </w:r>
            <w:proofErr w:type="gramStart"/>
            <w:r w:rsidRPr="00BA45D8">
              <w:rPr>
                <w:i/>
                <w:szCs w:val="24"/>
                <w:lang w:val="en-GB"/>
              </w:rPr>
              <w:t>i</w:t>
            </w:r>
            <w:proofErr w:type="gramEnd"/>
            <w:r w:rsidRPr="00BA45D8">
              <w:rPr>
                <w:i/>
                <w:szCs w:val="24"/>
                <w:lang w:val="en-GB"/>
              </w:rPr>
              <w:t xml:space="preserve"> 3.</w:t>
            </w:r>
            <w:r w:rsidRPr="00BA45D8">
              <w:rPr>
                <w:szCs w:val="24"/>
                <w:lang w:val="en-GB"/>
              </w:rPr>
              <w:t xml:space="preserve"> navedeno je da je za JLS s 3.000 i manje stanovnika minimalni potrebni 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xml:space="preserve">, točka 15.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odobrenim u sklopu prethodnog Poziva (KK.06.3.1.03).</w:t>
            </w:r>
          </w:p>
        </w:tc>
      </w:tr>
      <w:tr w:rsidR="009E36EC" w:rsidRPr="00512BFF" w:rsidTr="009E36EC">
        <w:trPr>
          <w:trHeight w:val="539"/>
        </w:trPr>
        <w:tc>
          <w:tcPr>
            <w:tcW w:w="6662" w:type="dxa"/>
            <w:gridSpan w:val="2"/>
            <w:shd w:val="clear" w:color="auto" w:fill="A8D08D" w:themeFill="accent6" w:themeFillTint="99"/>
            <w:vAlign w:val="center"/>
          </w:tcPr>
          <w:p w:rsidR="009E36EC" w:rsidRPr="009E36EC" w:rsidRDefault="009E36EC" w:rsidP="009E36EC">
            <w:pPr>
              <w:spacing w:after="120"/>
              <w:jc w:val="center"/>
              <w:rPr>
                <w:rFonts w:ascii="Gill Sans MT" w:hAnsi="Gill Sans MT"/>
                <w:b/>
                <w:color w:val="212121"/>
                <w:sz w:val="24"/>
                <w:szCs w:val="24"/>
                <w:highlight w:val="yellow"/>
                <w:lang w:eastAsia="hr-HR"/>
              </w:rPr>
            </w:pPr>
            <w:r w:rsidRPr="009E36EC">
              <w:rPr>
                <w:rFonts w:ascii="Gill Sans MT" w:hAnsi="Gill Sans MT"/>
                <w:b/>
                <w:color w:val="212121"/>
                <w:sz w:val="24"/>
                <w:szCs w:val="24"/>
                <w:lang w:eastAsia="hr-HR"/>
              </w:rPr>
              <w:lastRenderedPageBreak/>
              <w:t>11.08.2020.</w:t>
            </w:r>
          </w:p>
        </w:tc>
        <w:tc>
          <w:tcPr>
            <w:tcW w:w="6946" w:type="dxa"/>
            <w:shd w:val="clear" w:color="auto" w:fill="A8D08D" w:themeFill="accent6" w:themeFillTint="99"/>
          </w:tcPr>
          <w:p w:rsidR="009E36EC" w:rsidRPr="009E36EC" w:rsidRDefault="001774A3" w:rsidP="009E36EC">
            <w:pPr>
              <w:spacing w:after="120"/>
              <w:jc w:val="center"/>
              <w:rPr>
                <w:rFonts w:ascii="Gill Sans MT" w:hAnsi="Gill Sans MT"/>
                <w:b/>
                <w:sz w:val="24"/>
                <w:szCs w:val="24"/>
                <w:highlight w:val="yellow"/>
                <w:lang w:val="en-GB"/>
              </w:rPr>
            </w:pPr>
            <w:r w:rsidRPr="001774A3">
              <w:rPr>
                <w:rFonts w:ascii="Gill Sans MT" w:hAnsi="Gill Sans MT"/>
                <w:b/>
                <w:sz w:val="24"/>
                <w:szCs w:val="24"/>
                <w:lang w:val="en-GB"/>
              </w:rPr>
              <w:t>19</w:t>
            </w:r>
            <w:r w:rsidR="009E36EC" w:rsidRPr="001774A3">
              <w:rPr>
                <w:rFonts w:ascii="Gill Sans MT" w:hAnsi="Gill Sans MT"/>
                <w:b/>
                <w:sz w:val="24"/>
                <w:szCs w:val="24"/>
                <w:lang w:val="en-GB"/>
              </w:rPr>
              <w:t>.08.2020.</w:t>
            </w:r>
            <w:bookmarkStart w:id="0" w:name="_GoBack"/>
            <w:bookmarkEnd w:id="0"/>
          </w:p>
        </w:tc>
      </w:tr>
      <w:tr w:rsidR="009E36EC" w:rsidRPr="00512BFF" w:rsidTr="00FE3185">
        <w:trPr>
          <w:trHeight w:val="723"/>
        </w:trPr>
        <w:tc>
          <w:tcPr>
            <w:tcW w:w="567" w:type="dxa"/>
            <w:vAlign w:val="center"/>
          </w:tcPr>
          <w:p w:rsidR="009E36EC" w:rsidRPr="00557D01" w:rsidRDefault="009E36EC"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E36EC" w:rsidRDefault="009E36EC" w:rsidP="002F3327">
            <w:pPr>
              <w:spacing w:after="120"/>
              <w:jc w:val="both"/>
              <w:rPr>
                <w:rFonts w:ascii="Gill Sans MT" w:hAnsi="Gill Sans MT"/>
                <w:color w:val="212121"/>
                <w:sz w:val="24"/>
                <w:szCs w:val="24"/>
                <w:lang w:eastAsia="hr-HR"/>
              </w:rPr>
            </w:pPr>
            <w:r w:rsidRPr="009E36EC">
              <w:rPr>
                <w:rFonts w:ascii="Gill Sans MT" w:hAnsi="Gill Sans MT"/>
                <w:color w:val="212121"/>
                <w:sz w:val="24"/>
                <w:szCs w:val="24"/>
                <w:lang w:eastAsia="hr-HR"/>
              </w:rPr>
              <w:t>JLS je prije otvaranja Javnog poziva za dostavu projektnih prijedloga provela postupak jednostavne nabave za mobilno reciklažno dvorište. Isporuka mobilnog r</w:t>
            </w:r>
            <w:r w:rsidR="002F3327">
              <w:rPr>
                <w:rFonts w:ascii="Gill Sans MT" w:hAnsi="Gill Sans MT"/>
                <w:color w:val="212121"/>
                <w:sz w:val="24"/>
                <w:szCs w:val="24"/>
                <w:lang w:eastAsia="hr-HR"/>
              </w:rPr>
              <w:t xml:space="preserve">eciklažnog dvorišta i plaćanje </w:t>
            </w:r>
            <w:r w:rsidRPr="009E36EC">
              <w:rPr>
                <w:rFonts w:ascii="Gill Sans MT" w:hAnsi="Gill Sans MT"/>
                <w:color w:val="212121"/>
                <w:sz w:val="24"/>
                <w:szCs w:val="24"/>
                <w:lang w:eastAsia="hr-HR"/>
              </w:rPr>
              <w:t xml:space="preserve">uslijedili su </w:t>
            </w:r>
            <w:r w:rsidR="002F3327">
              <w:rPr>
                <w:rFonts w:ascii="Gill Sans MT" w:hAnsi="Gill Sans MT"/>
                <w:color w:val="212121"/>
                <w:sz w:val="24"/>
                <w:szCs w:val="24"/>
                <w:lang w:eastAsia="hr-HR"/>
              </w:rPr>
              <w:t>nakon objave Javnog poziva</w:t>
            </w:r>
            <w:r w:rsidRPr="009E36EC">
              <w:rPr>
                <w:rFonts w:ascii="Gill Sans MT" w:hAnsi="Gill Sans MT"/>
                <w:color w:val="212121"/>
                <w:sz w:val="24"/>
                <w:szCs w:val="24"/>
                <w:lang w:eastAsia="hr-HR"/>
              </w:rPr>
              <w:t xml:space="preserve"> i </w:t>
            </w:r>
            <w:proofErr w:type="gramStart"/>
            <w:r w:rsidRPr="009E36EC">
              <w:rPr>
                <w:rFonts w:ascii="Gill Sans MT" w:hAnsi="Gill Sans MT"/>
                <w:color w:val="212121"/>
                <w:sz w:val="24"/>
                <w:szCs w:val="24"/>
                <w:lang w:eastAsia="hr-HR"/>
              </w:rPr>
              <w:t>nakon  mogućnosti</w:t>
            </w:r>
            <w:proofErr w:type="gramEnd"/>
            <w:r w:rsidRPr="009E36EC">
              <w:rPr>
                <w:rFonts w:ascii="Gill Sans MT" w:hAnsi="Gill Sans MT"/>
                <w:color w:val="212121"/>
                <w:sz w:val="24"/>
                <w:szCs w:val="24"/>
                <w:lang w:eastAsia="hr-HR"/>
              </w:rPr>
              <w:t xml:space="preserve"> prijave.  Može li JLS ipak biti prijavitelj projektno</w:t>
            </w:r>
            <w:r w:rsidR="002F3327">
              <w:rPr>
                <w:rFonts w:ascii="Gill Sans MT" w:hAnsi="Gill Sans MT"/>
                <w:color w:val="212121"/>
                <w:sz w:val="24"/>
                <w:szCs w:val="24"/>
                <w:lang w:eastAsia="hr-HR"/>
              </w:rPr>
              <w:t>g prijedloga obzirom da projekt</w:t>
            </w:r>
            <w:r w:rsidRPr="009E36EC">
              <w:rPr>
                <w:rFonts w:ascii="Gill Sans MT" w:hAnsi="Gill Sans MT"/>
                <w:color w:val="212121"/>
                <w:sz w:val="24"/>
                <w:szCs w:val="24"/>
                <w:lang w:eastAsia="hr-HR"/>
              </w:rPr>
              <w:t xml:space="preserve"> u trenutku mogućnosti predaje prijave nije bio fizički ni financijski za</w:t>
            </w:r>
            <w:r w:rsidR="002F3327">
              <w:rPr>
                <w:rFonts w:ascii="Gill Sans MT" w:hAnsi="Gill Sans MT"/>
                <w:color w:val="212121"/>
                <w:sz w:val="24"/>
                <w:szCs w:val="24"/>
                <w:lang w:eastAsia="hr-HR"/>
              </w:rPr>
              <w:t>vršen</w:t>
            </w:r>
            <w:r w:rsidRPr="009E36EC">
              <w:rPr>
                <w:rFonts w:ascii="Gill Sans MT" w:hAnsi="Gill Sans MT"/>
                <w:color w:val="212121"/>
                <w:sz w:val="24"/>
                <w:szCs w:val="24"/>
                <w:lang w:eastAsia="hr-HR"/>
              </w:rPr>
              <w:t xml:space="preserve"> (Upute za prijavitelje - članak 2.6.1. Opći kriteriji prihvatljivosti za sva reciklažna dvoripšta, točka 6. ).</w:t>
            </w:r>
          </w:p>
        </w:tc>
        <w:tc>
          <w:tcPr>
            <w:tcW w:w="6946" w:type="dxa"/>
          </w:tcPr>
          <w:p w:rsidR="002F3327" w:rsidRPr="00BA45D8" w:rsidRDefault="002F3327" w:rsidP="002F3327">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E36EC" w:rsidRDefault="002F3327" w:rsidP="002F3327">
            <w:pPr>
              <w:spacing w:after="120"/>
              <w:jc w:val="both"/>
              <w:rPr>
                <w:rFonts w:ascii="Gill Sans MT" w:eastAsia="Calibri" w:hAnsi="Gill Sans MT"/>
                <w:sz w:val="24"/>
                <w:szCs w:val="24"/>
              </w:rPr>
            </w:pPr>
            <w:r w:rsidRPr="00B269CC">
              <w:rPr>
                <w:rFonts w:ascii="Gill Sans MT" w:hAnsi="Gill Sans MT"/>
                <w:sz w:val="24"/>
                <w:szCs w:val="24"/>
                <w:lang w:val="hr-HR"/>
              </w:rPr>
              <w:t xml:space="preserve">Kako bi projekt bio prihvatljiv, projektni prijedlog mora, između ostalog, udovoljavati kriteriju prihvatljivosti </w:t>
            </w:r>
            <w:r w:rsidR="00641B44">
              <w:rPr>
                <w:rFonts w:ascii="Gill Sans MT" w:hAnsi="Gill Sans MT"/>
                <w:sz w:val="24"/>
                <w:szCs w:val="24"/>
                <w:lang w:val="hr-HR"/>
              </w:rPr>
              <w:t xml:space="preserve">br. </w:t>
            </w:r>
            <w:r>
              <w:rPr>
                <w:rFonts w:ascii="Gill Sans MT" w:hAnsi="Gill Sans MT"/>
                <w:sz w:val="24"/>
                <w:szCs w:val="24"/>
                <w:lang w:val="hr-HR"/>
              </w:rPr>
              <w:t>6.</w:t>
            </w:r>
            <w:r w:rsidRPr="00B269CC">
              <w:rPr>
                <w:rFonts w:ascii="Gill Sans MT" w:hAnsi="Gill Sans MT"/>
                <w:sz w:val="24"/>
                <w:szCs w:val="24"/>
                <w:lang w:val="hr-HR"/>
              </w:rPr>
              <w:t xml:space="preserve"> iz poglavlja 2.6.</w:t>
            </w:r>
            <w:r>
              <w:rPr>
                <w:rFonts w:ascii="Gill Sans MT" w:hAnsi="Gill Sans MT"/>
                <w:sz w:val="24"/>
                <w:szCs w:val="24"/>
                <w:lang w:val="hr-HR"/>
              </w:rPr>
              <w:t>1.</w:t>
            </w:r>
            <w:r w:rsidRPr="00B269CC">
              <w:rPr>
                <w:rFonts w:ascii="Gill Sans MT" w:hAnsi="Gill Sans MT"/>
                <w:sz w:val="24"/>
                <w:szCs w:val="24"/>
                <w:lang w:val="hr-HR"/>
              </w:rPr>
              <w:t xml:space="preserve"> UzP-a</w:t>
            </w:r>
            <w:r w:rsidR="008B46A8">
              <w:rPr>
                <w:rFonts w:ascii="Gill Sans MT" w:hAnsi="Gill Sans MT"/>
                <w:sz w:val="24"/>
                <w:szCs w:val="24"/>
                <w:lang w:val="hr-HR"/>
              </w:rPr>
              <w:t>, koji u cijelosti glasi: „</w:t>
            </w:r>
            <w:r w:rsidRPr="000F2CFB">
              <w:rPr>
                <w:rFonts w:ascii="Gill Sans MT" w:eastAsia="Calibri" w:hAnsi="Gill Sans MT"/>
                <w:sz w:val="24"/>
                <w:szCs w:val="24"/>
                <w:u w:val="single"/>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B46A8">
              <w:rPr>
                <w:rFonts w:ascii="Gill Sans MT" w:eastAsia="Calibri" w:hAnsi="Gill Sans MT"/>
                <w:sz w:val="24"/>
                <w:szCs w:val="24"/>
                <w:u w:val="single"/>
              </w:rPr>
              <w:t>”.</w:t>
            </w:r>
            <w:r>
              <w:rPr>
                <w:rFonts w:ascii="Gill Sans MT" w:eastAsia="Calibri" w:hAnsi="Gill Sans MT"/>
                <w:sz w:val="24"/>
                <w:szCs w:val="24"/>
              </w:rPr>
              <w:t>.</w:t>
            </w:r>
          </w:p>
          <w:p w:rsidR="00D0102A" w:rsidRPr="000F2CFB" w:rsidRDefault="00D0102A" w:rsidP="000F2CFB">
            <w:pPr>
              <w:spacing w:after="120"/>
              <w:jc w:val="both"/>
              <w:rPr>
                <w:rFonts w:ascii="Gill Sans MT" w:eastAsia="Calibri" w:hAnsi="Gill Sans MT"/>
                <w:sz w:val="24"/>
                <w:szCs w:val="24"/>
              </w:rPr>
            </w:pPr>
            <w:r w:rsidRPr="008B46A8">
              <w:rPr>
                <w:rFonts w:ascii="Gill Sans MT" w:eastAsia="Calibri" w:hAnsi="Gill Sans MT"/>
                <w:sz w:val="24"/>
                <w:szCs w:val="24"/>
              </w:rPr>
              <w:t>Isto tako sukladno poglavlju 5.1. UzP</w:t>
            </w:r>
            <w:r w:rsidR="00234DF4" w:rsidRPr="008B46A8">
              <w:rPr>
                <w:rFonts w:ascii="Gill Sans MT" w:eastAsia="Calibri" w:hAnsi="Gill Sans MT"/>
                <w:sz w:val="24"/>
                <w:szCs w:val="24"/>
              </w:rPr>
              <w:t xml:space="preserve"> nije moguće</w:t>
            </w:r>
            <w:r w:rsidRPr="000F2CFB">
              <w:rPr>
                <w:rFonts w:ascii="Gill Sans MT" w:eastAsia="PMingLiU" w:hAnsi="Gill Sans MT"/>
                <w:i/>
                <w:sz w:val="24"/>
                <w:szCs w:val="24"/>
                <w:lang w:eastAsia="zh-CN"/>
              </w:rPr>
              <w:t xml:space="preserve"> </w:t>
            </w:r>
            <w:r w:rsidRPr="000F2CFB">
              <w:rPr>
                <w:rFonts w:ascii="Gill Sans MT" w:eastAsia="PMingLiU" w:hAnsi="Gill Sans MT"/>
                <w:sz w:val="24"/>
                <w:szCs w:val="24"/>
                <w:lang w:eastAsia="zh-CN"/>
              </w:rPr>
              <w:t>odobrenje financiranja aktivnosti projekta koje su započele ili su već dovršen</w:t>
            </w:r>
            <w:r w:rsidR="00641B44" w:rsidRPr="000F2CFB">
              <w:rPr>
                <w:rFonts w:ascii="Gill Sans MT" w:eastAsia="PMingLiU" w:hAnsi="Gill Sans MT"/>
                <w:sz w:val="24"/>
                <w:szCs w:val="24"/>
                <w:lang w:eastAsia="zh-CN"/>
              </w:rPr>
              <w:t>e te s njima povezanih troškova, a to su</w:t>
            </w:r>
            <w:r w:rsidR="00234DF4" w:rsidRPr="000F2CFB">
              <w:rPr>
                <w:rFonts w:ascii="Gill Sans MT" w:eastAsia="PMingLiU" w:hAnsi="Gill Sans MT"/>
                <w:sz w:val="24"/>
                <w:szCs w:val="24"/>
                <w:lang w:eastAsia="zh-CN"/>
              </w:rPr>
              <w:t xml:space="preserve"> </w:t>
            </w:r>
            <w:r w:rsidR="00641B44" w:rsidRPr="000F2CFB">
              <w:rPr>
                <w:rFonts w:ascii="Gill Sans MT" w:eastAsia="PMingLiU" w:hAnsi="Gill Sans MT"/>
                <w:sz w:val="24"/>
                <w:szCs w:val="24"/>
                <w:lang w:eastAsia="zh-CN"/>
              </w:rPr>
              <w:t>za Reciklažna dvorišta-mobilne jedinice s</w:t>
            </w:r>
            <w:r w:rsidR="00234DF4" w:rsidRPr="000F2CFB">
              <w:rPr>
                <w:rFonts w:ascii="Gill Sans MT" w:eastAsia="PMingLiU" w:hAnsi="Gill Sans MT"/>
                <w:sz w:val="24"/>
                <w:szCs w:val="24"/>
                <w:lang w:eastAsia="zh-CN"/>
              </w:rPr>
              <w:t>ukladno poglavlju 2.7.</w:t>
            </w:r>
            <w:r w:rsidR="00641B44" w:rsidRPr="000F2CFB">
              <w:rPr>
                <w:rFonts w:ascii="Gill Sans MT" w:eastAsia="PMingLiU" w:hAnsi="Gill Sans MT"/>
                <w:sz w:val="24"/>
                <w:szCs w:val="24"/>
                <w:lang w:eastAsia="zh-CN"/>
              </w:rPr>
              <w:t xml:space="preserve"> (</w:t>
            </w:r>
            <w:r w:rsidR="00641B44" w:rsidRPr="000F2CFB">
              <w:rPr>
                <w:rFonts w:ascii="Gill Sans MT" w:eastAsia="PMingLiU" w:hAnsi="Gill Sans MT"/>
                <w:i/>
                <w:sz w:val="24"/>
                <w:szCs w:val="24"/>
                <w:lang w:eastAsia="zh-CN"/>
              </w:rPr>
              <w:t>Prihvatljive projektne aktivnosti</w:t>
            </w:r>
            <w:r w:rsidR="00641B44" w:rsidRPr="000F2CFB">
              <w:rPr>
                <w:rFonts w:ascii="Gill Sans MT" w:eastAsia="PMingLiU" w:hAnsi="Gill Sans MT"/>
                <w:sz w:val="24"/>
                <w:szCs w:val="24"/>
                <w:lang w:eastAsia="zh-CN"/>
              </w:rPr>
              <w:t xml:space="preserve">) </w:t>
            </w:r>
            <w:r w:rsidR="00234DF4" w:rsidRPr="000F2CFB">
              <w:rPr>
                <w:rFonts w:ascii="Gill Sans MT" w:eastAsia="PMingLiU" w:hAnsi="Gill Sans MT"/>
                <w:sz w:val="24"/>
                <w:szCs w:val="24"/>
                <w:lang w:eastAsia="zh-CN"/>
              </w:rPr>
              <w:t xml:space="preserve">točka II. </w:t>
            </w:r>
            <w:r w:rsidR="00234DF4" w:rsidRPr="000F2CFB">
              <w:rPr>
                <w:rFonts w:ascii="Gill Sans MT" w:eastAsia="PMingLiU" w:hAnsi="Gill Sans MT"/>
                <w:sz w:val="24"/>
                <w:szCs w:val="24"/>
                <w:lang w:eastAsia="zh-CN"/>
              </w:rPr>
              <w:lastRenderedPageBreak/>
              <w:t>UzP:</w:t>
            </w:r>
            <w:r w:rsidR="008B46A8">
              <w:rPr>
                <w:rFonts w:ascii="Gill Sans MT" w:eastAsia="PMingLiU" w:hAnsi="Gill Sans MT"/>
                <w:sz w:val="24"/>
                <w:szCs w:val="24"/>
                <w:lang w:val="hr-HR" w:eastAsia="zh-CN"/>
              </w:rPr>
              <w:t xml:space="preserve"> </w:t>
            </w:r>
            <w:r w:rsidR="00234DF4" w:rsidRPr="00234DF4">
              <w:rPr>
                <w:rFonts w:ascii="Gill Sans MT" w:eastAsia="Calibri" w:hAnsi="Gill Sans MT"/>
                <w:sz w:val="24"/>
                <w:szCs w:val="24"/>
              </w:rPr>
              <w:t>aktivnosti vezane uz pripremu i provođenje postupka javne nabave roba za nabavu mobilne jedinice</w:t>
            </w:r>
            <w:r w:rsidR="008B46A8">
              <w:rPr>
                <w:rFonts w:ascii="Gill Sans MT" w:eastAsia="Calibri" w:hAnsi="Gill Sans MT"/>
                <w:sz w:val="24"/>
                <w:szCs w:val="24"/>
              </w:rPr>
              <w:t xml:space="preserve"> i </w:t>
            </w:r>
            <w:r w:rsidR="00234DF4" w:rsidRPr="00234DF4">
              <w:rPr>
                <w:rFonts w:ascii="Gill Sans MT" w:eastAsia="Calibri" w:hAnsi="Gill Sans MT"/>
                <w:sz w:val="24"/>
                <w:szCs w:val="24"/>
              </w:rPr>
              <w:t>aktivnosti vezane uz provedbu ugovora o nabavi roba - mobilne jedinice</w:t>
            </w:r>
            <w:r w:rsidR="00641B44">
              <w:rPr>
                <w:rFonts w:ascii="Gill Sans MT" w:eastAsia="Calibri" w:hAnsi="Gill Sans MT"/>
                <w:sz w:val="24"/>
                <w:szCs w:val="24"/>
              </w:rPr>
              <w:t>.</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7A" w:rsidRDefault="00FF387A" w:rsidP="00E07366">
      <w:pPr>
        <w:spacing w:after="0" w:line="240" w:lineRule="auto"/>
      </w:pPr>
      <w:r>
        <w:separator/>
      </w:r>
    </w:p>
  </w:endnote>
  <w:endnote w:type="continuationSeparator" w:id="0">
    <w:p w:rsidR="00FF387A" w:rsidRDefault="00FF387A"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7A" w:rsidRDefault="00FF387A" w:rsidP="00E07366">
      <w:pPr>
        <w:spacing w:after="0" w:line="240" w:lineRule="auto"/>
      </w:pPr>
      <w:r>
        <w:separator/>
      </w:r>
    </w:p>
  </w:footnote>
  <w:footnote w:type="continuationSeparator" w:id="0">
    <w:p w:rsidR="00FF387A" w:rsidRDefault="00FF387A"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1774A3"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31</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8"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9"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2"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5"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2"/>
  </w:num>
  <w:num w:numId="2">
    <w:abstractNumId w:val="1"/>
  </w:num>
  <w:num w:numId="3">
    <w:abstractNumId w:val="23"/>
  </w:num>
  <w:num w:numId="4">
    <w:abstractNumId w:val="60"/>
  </w:num>
  <w:num w:numId="5">
    <w:abstractNumId w:val="45"/>
  </w:num>
  <w:num w:numId="6">
    <w:abstractNumId w:val="39"/>
  </w:num>
  <w:num w:numId="7">
    <w:abstractNumId w:val="5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4"/>
  </w:num>
  <w:num w:numId="17">
    <w:abstractNumId w:val="12"/>
  </w:num>
  <w:num w:numId="18">
    <w:abstractNumId w:val="40"/>
  </w:num>
  <w:num w:numId="19">
    <w:abstractNumId w:val="15"/>
  </w:num>
  <w:num w:numId="20">
    <w:abstractNumId w:val="24"/>
  </w:num>
  <w:num w:numId="21">
    <w:abstractNumId w:val="50"/>
  </w:num>
  <w:num w:numId="22">
    <w:abstractNumId w:val="5"/>
  </w:num>
  <w:num w:numId="23">
    <w:abstractNumId w:val="53"/>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36"/>
  </w:num>
  <w:num w:numId="37">
    <w:abstractNumId w:val="55"/>
  </w:num>
  <w:num w:numId="38">
    <w:abstractNumId w:val="6"/>
  </w:num>
  <w:num w:numId="39">
    <w:abstractNumId w:val="27"/>
  </w:num>
  <w:num w:numId="40">
    <w:abstractNumId w:val="41"/>
  </w:num>
  <w:num w:numId="41">
    <w:abstractNumId w:val="61"/>
  </w:num>
  <w:num w:numId="42">
    <w:abstractNumId w:val="35"/>
  </w:num>
  <w:num w:numId="43">
    <w:abstractNumId w:val="47"/>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4"/>
  </w:num>
  <w:num w:numId="48">
    <w:abstractNumId w:val="2"/>
  </w:num>
  <w:num w:numId="49">
    <w:abstractNumId w:val="54"/>
  </w:num>
  <w:num w:numId="50">
    <w:abstractNumId w:val="56"/>
  </w:num>
  <w:num w:numId="51">
    <w:abstractNumId w:val="3"/>
  </w:num>
  <w:num w:numId="52">
    <w:abstractNumId w:val="10"/>
  </w:num>
  <w:num w:numId="53">
    <w:abstractNumId w:val="33"/>
  </w:num>
  <w:num w:numId="54">
    <w:abstractNumId w:val="22"/>
  </w:num>
  <w:num w:numId="55">
    <w:abstractNumId w:val="58"/>
  </w:num>
  <w:num w:numId="56">
    <w:abstractNumId w:val="63"/>
  </w:num>
  <w:num w:numId="57">
    <w:abstractNumId w:val="4"/>
  </w:num>
  <w:num w:numId="58">
    <w:abstractNumId w:val="29"/>
  </w:num>
  <w:num w:numId="59">
    <w:abstractNumId w:val="62"/>
  </w:num>
  <w:num w:numId="60">
    <w:abstractNumId w:val="48"/>
  </w:num>
  <w:num w:numId="61">
    <w:abstractNumId w:val="0"/>
  </w:num>
  <w:num w:numId="62">
    <w:abstractNumId w:val="8"/>
  </w:num>
  <w:num w:numId="63">
    <w:abstractNumId w:val="34"/>
  </w:num>
  <w:num w:numId="64">
    <w:abstractNumId w:val="65"/>
  </w:num>
  <w:num w:numId="65">
    <w:abstractNumId w:val="46"/>
  </w:num>
  <w:num w:numId="66">
    <w:abstractNumId w:val="26"/>
  </w:num>
  <w:num w:numId="67">
    <w:abstractNumId w:val="32"/>
  </w:num>
  <w:num w:numId="68">
    <w:abstractNumId w:val="59"/>
  </w:num>
  <w:num w:numId="69">
    <w:abstractNumId w:val="20"/>
  </w:num>
  <w:num w:numId="70">
    <w:abstractNumId w:val="38"/>
  </w:num>
  <w:num w:numId="71">
    <w:abstractNumId w:val="31"/>
  </w:num>
  <w:num w:numId="72">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37EAB"/>
    <w:rsid w:val="00041272"/>
    <w:rsid w:val="0004163C"/>
    <w:rsid w:val="00043032"/>
    <w:rsid w:val="00045195"/>
    <w:rsid w:val="00055398"/>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2CFB"/>
    <w:rsid w:val="000F4AD1"/>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774A3"/>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4DF4"/>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3327"/>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357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C445D"/>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0A25"/>
    <w:rsid w:val="00641B44"/>
    <w:rsid w:val="006424B0"/>
    <w:rsid w:val="006472F4"/>
    <w:rsid w:val="0065257E"/>
    <w:rsid w:val="00653DBD"/>
    <w:rsid w:val="006577F2"/>
    <w:rsid w:val="00672590"/>
    <w:rsid w:val="00677D83"/>
    <w:rsid w:val="00681E58"/>
    <w:rsid w:val="00691DF1"/>
    <w:rsid w:val="00692087"/>
    <w:rsid w:val="00695747"/>
    <w:rsid w:val="006975D7"/>
    <w:rsid w:val="006A0C8D"/>
    <w:rsid w:val="006A137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0D6C"/>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66C"/>
    <w:rsid w:val="008A7FC8"/>
    <w:rsid w:val="008B46A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36EC"/>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678CC"/>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02A"/>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D1FF4"/>
    <w:rsid w:val="00FD70B8"/>
    <w:rsid w:val="00FD74B6"/>
    <w:rsid w:val="00FD74FF"/>
    <w:rsid w:val="00FE2BDE"/>
    <w:rsid w:val="00FE7E3D"/>
    <w:rsid w:val="00FE7F7D"/>
    <w:rsid w:val="00FF387A"/>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6E6A4"/>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93E5-8F09-4E49-85FB-BE2400F0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10263</Words>
  <Characters>58500</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Ormuž Pavić</dc:creator>
  <cp:lastModifiedBy>Bojana Ormuž Pavić</cp:lastModifiedBy>
  <cp:revision>3</cp:revision>
  <cp:lastPrinted>2020-04-27T08:18:00Z</cp:lastPrinted>
  <dcterms:created xsi:type="dcterms:W3CDTF">2020-08-18T09:48:00Z</dcterms:created>
  <dcterms:modified xsi:type="dcterms:W3CDTF">2020-08-19T11:37:00Z</dcterms:modified>
</cp:coreProperties>
</file>