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852B" w14:textId="77777777" w:rsidR="00567DA2" w:rsidRDefault="00257BCC">
      <w:r w:rsidRPr="00257BCC">
        <w:rPr>
          <w:noProof/>
          <w:lang w:eastAsia="hr-HR"/>
        </w:rPr>
        <w:drawing>
          <wp:inline distT="0" distB="0" distL="0" distR="0" wp14:anchorId="79BD4212" wp14:editId="6C9C9F54">
            <wp:extent cx="5760720" cy="1143143"/>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720" cy="1143143"/>
                    </a:xfrm>
                    <a:prstGeom prst="rect">
                      <a:avLst/>
                    </a:prstGeom>
                    <a:noFill/>
                    <a:ln w="9525">
                      <a:noFill/>
                      <a:miter lim="800000"/>
                      <a:headEnd/>
                      <a:tailEnd/>
                    </a:ln>
                  </pic:spPr>
                </pic:pic>
              </a:graphicData>
            </a:graphic>
          </wp:inline>
        </w:drawing>
      </w:r>
    </w:p>
    <w:p w14:paraId="380587EE" w14:textId="77777777" w:rsidR="00257BCC" w:rsidRPr="00257BCC" w:rsidRDefault="00257BCC" w:rsidP="00257BCC">
      <w:pPr>
        <w:spacing w:line="240" w:lineRule="auto"/>
        <w:jc w:val="center"/>
        <w:rPr>
          <w:rFonts w:cs="Times New Roman"/>
          <w:b/>
          <w:i/>
          <w:sz w:val="24"/>
          <w:szCs w:val="24"/>
        </w:rPr>
      </w:pPr>
      <w:r w:rsidRPr="00257BCC">
        <w:rPr>
          <w:rFonts w:cs="Times New Roman"/>
          <w:b/>
          <w:sz w:val="24"/>
          <w:szCs w:val="24"/>
        </w:rPr>
        <w:t xml:space="preserve">PRILOG 3. </w:t>
      </w:r>
    </w:p>
    <w:p w14:paraId="473C8FF9" w14:textId="77777777" w:rsidR="00257BCC" w:rsidRPr="00257BCC" w:rsidRDefault="00257BCC" w:rsidP="00257BCC">
      <w:pPr>
        <w:spacing w:line="240" w:lineRule="auto"/>
        <w:jc w:val="center"/>
        <w:rPr>
          <w:rFonts w:cs="Times New Roman"/>
          <w:b/>
          <w:i/>
          <w:sz w:val="24"/>
          <w:szCs w:val="24"/>
        </w:rPr>
      </w:pPr>
      <w:r w:rsidRPr="00257BCC">
        <w:rPr>
          <w:rFonts w:cs="Times New Roman"/>
          <w:b/>
          <w:sz w:val="24"/>
          <w:szCs w:val="24"/>
        </w:rPr>
        <w:t>IZJAVA O NEPOSTOJANJU RAZLOGA ISKLJUČENJA</w:t>
      </w:r>
    </w:p>
    <w:p w14:paraId="796C2D7A" w14:textId="77777777" w:rsidR="00257BCC" w:rsidRPr="00257BCC" w:rsidRDefault="00257BCC" w:rsidP="00257BCC">
      <w:pPr>
        <w:spacing w:line="240" w:lineRule="auto"/>
        <w:rPr>
          <w:rFonts w:cs="Times New Roman"/>
          <w:b/>
          <w:sz w:val="24"/>
          <w:szCs w:val="24"/>
        </w:rPr>
      </w:pPr>
    </w:p>
    <w:p w14:paraId="4619A259" w14:textId="77777777" w:rsidR="00257BCC" w:rsidRPr="00257BCC" w:rsidRDefault="00257BCC" w:rsidP="00257BCC">
      <w:pPr>
        <w:spacing w:line="240" w:lineRule="auto"/>
        <w:rPr>
          <w:rFonts w:cs="Times New Roman"/>
          <w:sz w:val="24"/>
          <w:szCs w:val="24"/>
        </w:rPr>
      </w:pPr>
      <w:r w:rsidRPr="00257BCC">
        <w:rPr>
          <w:rFonts w:cs="Times New Roman"/>
          <w:sz w:val="24"/>
          <w:szCs w:val="24"/>
        </w:rPr>
        <w:t xml:space="preserve">Radi dokazivanja nepostojanja situacije opisanih točkom 4.1. Dokumentacije za nadmetanje, a koje bi mogle dovesti do isključenja ponuditelja iz postupaka nabave, dajem slijedeću </w:t>
      </w:r>
    </w:p>
    <w:p w14:paraId="60760214" w14:textId="77777777" w:rsidR="00257BCC" w:rsidRPr="00257BCC" w:rsidRDefault="00257BCC" w:rsidP="00257BCC">
      <w:pPr>
        <w:spacing w:line="240" w:lineRule="auto"/>
        <w:rPr>
          <w:sz w:val="24"/>
          <w:szCs w:val="24"/>
        </w:rPr>
      </w:pPr>
    </w:p>
    <w:p w14:paraId="2A3A99A0" w14:textId="77777777" w:rsidR="00257BCC" w:rsidRPr="00257BCC" w:rsidRDefault="00257BCC" w:rsidP="00257BCC">
      <w:pPr>
        <w:spacing w:line="240" w:lineRule="auto"/>
        <w:jc w:val="center"/>
        <w:rPr>
          <w:rFonts w:cs="Times New Roman"/>
          <w:b/>
          <w:sz w:val="24"/>
          <w:szCs w:val="24"/>
        </w:rPr>
      </w:pPr>
      <w:r w:rsidRPr="00257BCC">
        <w:rPr>
          <w:rFonts w:cs="Times New Roman"/>
          <w:b/>
          <w:sz w:val="24"/>
          <w:szCs w:val="24"/>
        </w:rPr>
        <w:t>IZJAVU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57BCC" w:rsidRPr="00257BCC" w14:paraId="6BBB95BB" w14:textId="77777777" w:rsidTr="00FC67FC">
        <w:tc>
          <w:tcPr>
            <w:tcW w:w="9072" w:type="dxa"/>
          </w:tcPr>
          <w:p w14:paraId="2524593B" w14:textId="77777777" w:rsidR="00257BCC" w:rsidRPr="00257BCC" w:rsidRDefault="00257BCC" w:rsidP="00257BCC">
            <w:pPr>
              <w:jc w:val="both"/>
              <w:rPr>
                <w:rFonts w:cs="Times New Roman"/>
                <w:sz w:val="24"/>
                <w:szCs w:val="24"/>
              </w:rPr>
            </w:pPr>
          </w:p>
          <w:p w14:paraId="7E7FF88F" w14:textId="77777777" w:rsidR="00257BCC" w:rsidRPr="00257BCC" w:rsidRDefault="00257BCC" w:rsidP="00257BCC">
            <w:pPr>
              <w:jc w:val="both"/>
              <w:rPr>
                <w:rFonts w:cs="Times New Roman"/>
                <w:sz w:val="24"/>
                <w:szCs w:val="24"/>
              </w:rPr>
            </w:pPr>
            <w:r w:rsidRPr="00257BCC">
              <w:rPr>
                <w:rFonts w:cs="Times New Roman"/>
                <w:sz w:val="24"/>
                <w:szCs w:val="24"/>
              </w:rPr>
              <w:t xml:space="preserve">Kojom _______________________________________ iz  __________________ </w:t>
            </w:r>
          </w:p>
          <w:p w14:paraId="0E6F74C6" w14:textId="77777777" w:rsidR="00257BCC" w:rsidRPr="00257BCC" w:rsidRDefault="00257BCC" w:rsidP="00257BCC">
            <w:pPr>
              <w:rPr>
                <w:rFonts w:cs="Times New Roman"/>
                <w:sz w:val="24"/>
                <w:szCs w:val="24"/>
              </w:rPr>
            </w:pPr>
            <w:r w:rsidRPr="00257BCC">
              <w:rPr>
                <w:rFonts w:cs="Times New Roman"/>
                <w:sz w:val="24"/>
                <w:szCs w:val="24"/>
              </w:rPr>
              <w:t xml:space="preserve">                                         </w:t>
            </w:r>
            <w:r w:rsidR="00BF5A2A">
              <w:rPr>
                <w:rFonts w:cs="Times New Roman"/>
                <w:sz w:val="24"/>
                <w:szCs w:val="24"/>
              </w:rPr>
              <w:t xml:space="preserve">           </w:t>
            </w:r>
            <w:r w:rsidRPr="00257BCC">
              <w:rPr>
                <w:rFonts w:cs="Times New Roman"/>
                <w:sz w:val="24"/>
                <w:szCs w:val="24"/>
              </w:rPr>
              <w:t>(ime i prezime</w:t>
            </w:r>
            <w:r w:rsidR="00BF5A2A">
              <w:rPr>
                <w:rFonts w:cs="Times New Roman"/>
                <w:sz w:val="24"/>
                <w:szCs w:val="24"/>
              </w:rPr>
              <w:t>)</w:t>
            </w:r>
            <w:r w:rsidRPr="00257BCC">
              <w:rPr>
                <w:rFonts w:cs="Times New Roman"/>
                <w:sz w:val="24"/>
                <w:szCs w:val="24"/>
              </w:rPr>
              <w:t xml:space="preserve">      </w:t>
            </w:r>
            <w:r w:rsidR="00BF5A2A">
              <w:rPr>
                <w:rFonts w:cs="Times New Roman"/>
                <w:sz w:val="24"/>
                <w:szCs w:val="24"/>
              </w:rPr>
              <w:t xml:space="preserve">                      (adresa prebivališta)</w:t>
            </w:r>
            <w:r w:rsidRPr="00257BCC">
              <w:rPr>
                <w:rFonts w:cs="Times New Roman"/>
                <w:sz w:val="24"/>
                <w:szCs w:val="24"/>
              </w:rPr>
              <w:t xml:space="preserve"> </w:t>
            </w:r>
          </w:p>
          <w:p w14:paraId="64DF75EB" w14:textId="77777777" w:rsidR="00257BCC" w:rsidRPr="00257BCC" w:rsidRDefault="00257BCC" w:rsidP="00257BCC">
            <w:pPr>
              <w:jc w:val="both"/>
              <w:rPr>
                <w:rFonts w:cs="Times New Roman"/>
                <w:sz w:val="24"/>
                <w:szCs w:val="24"/>
              </w:rPr>
            </w:pPr>
          </w:p>
        </w:tc>
      </w:tr>
      <w:tr w:rsidR="00257BCC" w:rsidRPr="00257BCC" w14:paraId="23D85B05" w14:textId="77777777" w:rsidTr="00FC67FC">
        <w:tc>
          <w:tcPr>
            <w:tcW w:w="9072" w:type="dxa"/>
          </w:tcPr>
          <w:p w14:paraId="166C0D37" w14:textId="77777777" w:rsidR="00257BCC" w:rsidRPr="00257BCC" w:rsidRDefault="00257BCC" w:rsidP="00257BCC">
            <w:pPr>
              <w:jc w:val="both"/>
              <w:rPr>
                <w:rFonts w:cs="Times New Roman"/>
                <w:sz w:val="24"/>
                <w:szCs w:val="24"/>
              </w:rPr>
            </w:pPr>
          </w:p>
          <w:p w14:paraId="4A43A835" w14:textId="77777777" w:rsidR="00257BCC" w:rsidRPr="00257BCC" w:rsidRDefault="00257BCC" w:rsidP="00257BCC">
            <w:pPr>
              <w:jc w:val="both"/>
              <w:rPr>
                <w:rFonts w:cs="Times New Roman"/>
                <w:sz w:val="24"/>
                <w:szCs w:val="24"/>
              </w:rPr>
            </w:pPr>
            <w:r w:rsidRPr="00257BCC">
              <w:rPr>
                <w:rFonts w:cs="Times New Roman"/>
                <w:sz w:val="24"/>
                <w:szCs w:val="24"/>
              </w:rPr>
              <w:t xml:space="preserve">__________________________________ , OIB broj </w:t>
            </w:r>
            <w:r w:rsidRPr="00257BCC">
              <w:rPr>
                <w:rFonts w:cs="Times New Roman"/>
                <w:i/>
                <w:sz w:val="24"/>
                <w:szCs w:val="24"/>
              </w:rPr>
              <w:t>,</w:t>
            </w:r>
            <w:r w:rsidRPr="00257BCC">
              <w:rPr>
                <w:rFonts w:cs="Times New Roman"/>
                <w:sz w:val="24"/>
                <w:szCs w:val="24"/>
              </w:rPr>
              <w:t xml:space="preserve"> ___________</w:t>
            </w:r>
          </w:p>
          <w:p w14:paraId="2098E00F" w14:textId="77777777" w:rsidR="00257BCC" w:rsidRPr="00257BCC" w:rsidRDefault="00257BCC" w:rsidP="00257BCC">
            <w:pPr>
              <w:jc w:val="both"/>
              <w:rPr>
                <w:rFonts w:cs="Times New Roman"/>
                <w:sz w:val="24"/>
                <w:szCs w:val="24"/>
              </w:rPr>
            </w:pPr>
          </w:p>
        </w:tc>
      </w:tr>
      <w:tr w:rsidR="00257BCC" w:rsidRPr="00257BCC" w14:paraId="4548390A" w14:textId="77777777" w:rsidTr="00FC67FC">
        <w:tc>
          <w:tcPr>
            <w:tcW w:w="9072" w:type="dxa"/>
          </w:tcPr>
          <w:p w14:paraId="3E2891CE" w14:textId="77777777" w:rsidR="00257BCC" w:rsidRPr="00257BCC" w:rsidRDefault="00257BCC" w:rsidP="00257BCC">
            <w:pPr>
              <w:jc w:val="both"/>
              <w:rPr>
                <w:rFonts w:cs="Times New Roman"/>
                <w:sz w:val="24"/>
                <w:szCs w:val="24"/>
              </w:rPr>
            </w:pPr>
          </w:p>
          <w:p w14:paraId="356E4E26" w14:textId="77777777" w:rsidR="00257BCC" w:rsidRPr="00257BCC" w:rsidRDefault="00257BCC" w:rsidP="00257BCC">
            <w:pPr>
              <w:jc w:val="both"/>
              <w:rPr>
                <w:rFonts w:cs="Times New Roman"/>
                <w:sz w:val="24"/>
                <w:szCs w:val="24"/>
              </w:rPr>
            </w:pPr>
            <w:r w:rsidRPr="00257BCC">
              <w:rPr>
                <w:rFonts w:cs="Times New Roman"/>
                <w:sz w:val="24"/>
                <w:szCs w:val="24"/>
              </w:rPr>
              <w:t>__________________ , broj osobne iskaznice __________________ ,</w:t>
            </w:r>
          </w:p>
          <w:p w14:paraId="63B8D820" w14:textId="77777777" w:rsidR="00257BCC" w:rsidRPr="00257BCC" w:rsidRDefault="00257BCC" w:rsidP="00257BCC">
            <w:pPr>
              <w:jc w:val="both"/>
              <w:rPr>
                <w:rFonts w:cs="Times New Roman"/>
                <w:sz w:val="24"/>
                <w:szCs w:val="24"/>
              </w:rPr>
            </w:pPr>
          </w:p>
        </w:tc>
      </w:tr>
      <w:tr w:rsidR="00257BCC" w:rsidRPr="00257BCC" w14:paraId="4DA7B583" w14:textId="77777777" w:rsidTr="00FC67FC">
        <w:tc>
          <w:tcPr>
            <w:tcW w:w="9072" w:type="dxa"/>
          </w:tcPr>
          <w:p w14:paraId="7EC1004F" w14:textId="77777777" w:rsidR="00257BCC" w:rsidRPr="00257BCC" w:rsidRDefault="00257BCC" w:rsidP="00257BCC">
            <w:pPr>
              <w:jc w:val="both"/>
              <w:rPr>
                <w:rFonts w:cs="Times New Roman"/>
                <w:sz w:val="24"/>
                <w:szCs w:val="24"/>
              </w:rPr>
            </w:pPr>
          </w:p>
          <w:p w14:paraId="4D35C212" w14:textId="77777777" w:rsidR="00257BCC" w:rsidRPr="00257BCC" w:rsidRDefault="00257BCC" w:rsidP="00257BCC">
            <w:pPr>
              <w:jc w:val="both"/>
              <w:rPr>
                <w:rFonts w:cs="Times New Roman"/>
                <w:sz w:val="24"/>
                <w:szCs w:val="24"/>
              </w:rPr>
            </w:pPr>
            <w:r w:rsidRPr="00257BCC">
              <w:rPr>
                <w:rFonts w:cs="Times New Roman"/>
                <w:sz w:val="24"/>
                <w:szCs w:val="24"/>
              </w:rPr>
              <w:t xml:space="preserve">izdane od _______________________________,  kao po zakonu ovlaštene osobe za </w:t>
            </w:r>
          </w:p>
          <w:p w14:paraId="2263119F" w14:textId="77777777" w:rsidR="00257BCC" w:rsidRPr="00257BCC" w:rsidRDefault="00257BCC" w:rsidP="00257BCC">
            <w:pPr>
              <w:jc w:val="both"/>
              <w:rPr>
                <w:rFonts w:cs="Times New Roman"/>
                <w:sz w:val="24"/>
                <w:szCs w:val="24"/>
              </w:rPr>
            </w:pPr>
          </w:p>
        </w:tc>
      </w:tr>
      <w:tr w:rsidR="00257BCC" w:rsidRPr="00257BCC" w14:paraId="4E914CC5" w14:textId="77777777" w:rsidTr="00FC67FC">
        <w:tc>
          <w:tcPr>
            <w:tcW w:w="9072" w:type="dxa"/>
          </w:tcPr>
          <w:p w14:paraId="35EB37A2" w14:textId="77777777" w:rsidR="00257BCC" w:rsidRPr="00257BCC" w:rsidRDefault="00257BCC" w:rsidP="00257BCC">
            <w:pPr>
              <w:jc w:val="both"/>
              <w:rPr>
                <w:rFonts w:cs="Times New Roman"/>
                <w:sz w:val="24"/>
                <w:szCs w:val="24"/>
              </w:rPr>
            </w:pPr>
          </w:p>
          <w:p w14:paraId="1BC221EA" w14:textId="77777777" w:rsidR="00257BCC" w:rsidRPr="00257BCC" w:rsidRDefault="00257BCC" w:rsidP="00257BCC">
            <w:pPr>
              <w:jc w:val="both"/>
              <w:rPr>
                <w:rFonts w:cs="Times New Roman"/>
                <w:sz w:val="24"/>
                <w:szCs w:val="24"/>
              </w:rPr>
            </w:pPr>
            <w:r w:rsidRPr="00257BCC">
              <w:rPr>
                <w:rFonts w:cs="Times New Roman"/>
                <w:sz w:val="24"/>
                <w:szCs w:val="24"/>
              </w:rPr>
              <w:t xml:space="preserve">zastupanje </w:t>
            </w:r>
            <w:r w:rsidR="00BF5A2A">
              <w:rPr>
                <w:rFonts w:cs="Times New Roman"/>
                <w:sz w:val="24"/>
                <w:szCs w:val="24"/>
              </w:rPr>
              <w:t xml:space="preserve">gospodarskog subjekta </w:t>
            </w:r>
          </w:p>
          <w:p w14:paraId="019BBC3E" w14:textId="77777777" w:rsidR="00257BCC" w:rsidRPr="00257BCC" w:rsidRDefault="00257BCC" w:rsidP="00257BCC">
            <w:pPr>
              <w:jc w:val="both"/>
              <w:rPr>
                <w:rFonts w:cs="Times New Roman"/>
                <w:sz w:val="24"/>
                <w:szCs w:val="24"/>
              </w:rPr>
            </w:pPr>
          </w:p>
        </w:tc>
      </w:tr>
      <w:tr w:rsidR="00257BCC" w:rsidRPr="00257BCC" w14:paraId="079ED150" w14:textId="77777777" w:rsidTr="00FC67FC">
        <w:tc>
          <w:tcPr>
            <w:tcW w:w="9072" w:type="dxa"/>
          </w:tcPr>
          <w:p w14:paraId="373B0EE4" w14:textId="77777777" w:rsidR="00257BCC" w:rsidRPr="00257BCC" w:rsidRDefault="00257BCC" w:rsidP="00257BCC">
            <w:pPr>
              <w:pBdr>
                <w:bottom w:val="single" w:sz="12" w:space="1" w:color="auto"/>
              </w:pBdr>
              <w:jc w:val="both"/>
              <w:rPr>
                <w:rFonts w:cs="Times New Roman"/>
                <w:sz w:val="24"/>
                <w:szCs w:val="24"/>
              </w:rPr>
            </w:pPr>
          </w:p>
          <w:p w14:paraId="6FB7004A" w14:textId="77777777" w:rsidR="00257BCC" w:rsidRPr="00257BCC" w:rsidRDefault="00257BCC" w:rsidP="00257BCC">
            <w:pPr>
              <w:pBdr>
                <w:bottom w:val="single" w:sz="12" w:space="1" w:color="auto"/>
              </w:pBdr>
              <w:jc w:val="both"/>
              <w:rPr>
                <w:rFonts w:cs="Times New Roman"/>
                <w:sz w:val="24"/>
                <w:szCs w:val="24"/>
              </w:rPr>
            </w:pPr>
          </w:p>
          <w:p w14:paraId="5A931150" w14:textId="77777777" w:rsidR="00257BCC" w:rsidRPr="00257BCC" w:rsidRDefault="00257BCC" w:rsidP="00257BCC">
            <w:pPr>
              <w:jc w:val="center"/>
              <w:rPr>
                <w:rFonts w:cs="Times New Roman"/>
                <w:sz w:val="24"/>
                <w:szCs w:val="24"/>
              </w:rPr>
            </w:pPr>
            <w:r w:rsidRPr="00257BCC">
              <w:rPr>
                <w:rFonts w:cs="Times New Roman"/>
                <w:sz w:val="24"/>
                <w:szCs w:val="24"/>
              </w:rPr>
              <w:t>(naziv i sjedišt</w:t>
            </w:r>
            <w:r w:rsidR="00BF5A2A">
              <w:rPr>
                <w:rFonts w:cs="Times New Roman"/>
                <w:sz w:val="24"/>
                <w:szCs w:val="24"/>
              </w:rPr>
              <w:t xml:space="preserve">e gospodarskog subjekta, OIB) </w:t>
            </w:r>
          </w:p>
          <w:p w14:paraId="570C22C5" w14:textId="77777777" w:rsidR="00257BCC" w:rsidRPr="00257BCC" w:rsidRDefault="00257BCC" w:rsidP="00257BCC">
            <w:pPr>
              <w:jc w:val="both"/>
              <w:rPr>
                <w:rFonts w:cs="Times New Roman"/>
                <w:sz w:val="24"/>
                <w:szCs w:val="24"/>
              </w:rPr>
            </w:pPr>
          </w:p>
        </w:tc>
      </w:tr>
      <w:tr w:rsidR="00257BCC" w:rsidRPr="00257BCC" w14:paraId="46ABDAA7" w14:textId="77777777" w:rsidTr="00FC67FC">
        <w:tc>
          <w:tcPr>
            <w:tcW w:w="9072" w:type="dxa"/>
          </w:tcPr>
          <w:p w14:paraId="72D09332" w14:textId="77777777" w:rsidR="00257BCC" w:rsidRPr="00257BCC" w:rsidRDefault="00257BCC" w:rsidP="00257BCC">
            <w:pPr>
              <w:jc w:val="both"/>
              <w:rPr>
                <w:rFonts w:cs="Times New Roman"/>
                <w:sz w:val="24"/>
                <w:szCs w:val="24"/>
              </w:rPr>
            </w:pPr>
          </w:p>
        </w:tc>
      </w:tr>
      <w:tr w:rsidR="00257BCC" w:rsidRPr="00257BCC" w14:paraId="1F935971" w14:textId="77777777" w:rsidTr="00FC67FC">
        <w:tc>
          <w:tcPr>
            <w:tcW w:w="9072" w:type="dxa"/>
          </w:tcPr>
          <w:p w14:paraId="49F00B50" w14:textId="77777777" w:rsidR="00257BCC" w:rsidRPr="00257BCC" w:rsidRDefault="00257BCC" w:rsidP="00257BCC">
            <w:pPr>
              <w:jc w:val="both"/>
              <w:rPr>
                <w:rFonts w:cs="Times New Roman"/>
                <w:i/>
                <w:sz w:val="24"/>
                <w:szCs w:val="24"/>
              </w:rPr>
            </w:pPr>
          </w:p>
          <w:p w14:paraId="18EEE351" w14:textId="77777777" w:rsidR="00257BCC" w:rsidRPr="00257BCC" w:rsidRDefault="00257BCC" w:rsidP="00257BCC">
            <w:pPr>
              <w:jc w:val="both"/>
              <w:rPr>
                <w:rFonts w:cs="Times New Roman"/>
                <w:sz w:val="24"/>
                <w:szCs w:val="24"/>
              </w:rPr>
            </w:pPr>
          </w:p>
        </w:tc>
      </w:tr>
      <w:tr w:rsidR="00257BCC" w:rsidRPr="00257BCC" w14:paraId="59B4F568" w14:textId="77777777" w:rsidTr="00FC67FC">
        <w:tc>
          <w:tcPr>
            <w:tcW w:w="9072" w:type="dxa"/>
          </w:tcPr>
          <w:p w14:paraId="72DB14AC" w14:textId="77777777" w:rsidR="00257BCC" w:rsidRPr="00257BCC" w:rsidRDefault="00257BCC" w:rsidP="00257BCC">
            <w:pPr>
              <w:jc w:val="both"/>
              <w:rPr>
                <w:rFonts w:cs="Times New Roman"/>
                <w:sz w:val="24"/>
                <w:szCs w:val="24"/>
              </w:rPr>
            </w:pPr>
          </w:p>
        </w:tc>
      </w:tr>
    </w:tbl>
    <w:p w14:paraId="0E37786B" w14:textId="77777777" w:rsidR="00FC67FC" w:rsidRDefault="00FC67FC" w:rsidP="00FC67FC">
      <w:pPr>
        <w:spacing w:line="240" w:lineRule="auto"/>
        <w:ind w:left="360"/>
        <w:rPr>
          <w:rFonts w:cs="Times New Roman"/>
          <w:sz w:val="24"/>
          <w:szCs w:val="24"/>
        </w:rPr>
      </w:pPr>
    </w:p>
    <w:p w14:paraId="011347FD" w14:textId="77777777" w:rsidR="00FC67FC" w:rsidRDefault="00FC67FC">
      <w:pPr>
        <w:rPr>
          <w:rFonts w:cs="Times New Roman"/>
          <w:sz w:val="24"/>
          <w:szCs w:val="24"/>
        </w:rPr>
      </w:pPr>
      <w:r>
        <w:rPr>
          <w:rFonts w:cs="Times New Roman"/>
          <w:sz w:val="24"/>
          <w:szCs w:val="24"/>
        </w:rPr>
        <w:br w:type="page"/>
      </w:r>
    </w:p>
    <w:p w14:paraId="5BBD6157" w14:textId="77777777" w:rsidR="00FC67FC" w:rsidRPr="00FC67FC" w:rsidRDefault="00FC67FC" w:rsidP="00FC67FC">
      <w:pPr>
        <w:spacing w:line="240" w:lineRule="auto"/>
        <w:ind w:left="360"/>
        <w:rPr>
          <w:rFonts w:cs="Times New Roman"/>
          <w:sz w:val="24"/>
          <w:szCs w:val="24"/>
        </w:rPr>
      </w:pPr>
      <w:r w:rsidRPr="00FC67FC">
        <w:rPr>
          <w:rFonts w:cs="Times New Roman"/>
          <w:sz w:val="24"/>
          <w:szCs w:val="24"/>
        </w:rPr>
        <w:lastRenderedPageBreak/>
        <w:t xml:space="preserve">Potpisom ove Izjave osobno i u ime </w:t>
      </w:r>
      <w:r>
        <w:rPr>
          <w:rFonts w:cs="Times New Roman"/>
          <w:sz w:val="24"/>
          <w:szCs w:val="24"/>
        </w:rPr>
        <w:t>Ponuditelj</w:t>
      </w:r>
      <w:r w:rsidRPr="00FC67FC">
        <w:rPr>
          <w:rFonts w:cs="Times New Roman"/>
          <w:sz w:val="24"/>
          <w:szCs w:val="24"/>
        </w:rPr>
        <w:t xml:space="preserve">a potvrđujem da se </w:t>
      </w:r>
      <w:r>
        <w:rPr>
          <w:rFonts w:cs="Times New Roman"/>
          <w:sz w:val="24"/>
          <w:szCs w:val="24"/>
        </w:rPr>
        <w:t>Ponuditelj</w:t>
      </w:r>
      <w:r w:rsidRPr="00FC67FC">
        <w:rPr>
          <w:rFonts w:cs="Times New Roman"/>
          <w:sz w:val="24"/>
          <w:szCs w:val="24"/>
        </w:rPr>
        <w:t xml:space="preserve">, niti </w:t>
      </w:r>
      <w:r w:rsidR="00B427EC">
        <w:rPr>
          <w:rFonts w:cs="Times New Roman"/>
          <w:sz w:val="24"/>
          <w:szCs w:val="24"/>
        </w:rPr>
        <w:t>dolje</w:t>
      </w:r>
      <w:r w:rsidRPr="00FC67FC">
        <w:rPr>
          <w:rFonts w:cs="Times New Roman"/>
          <w:sz w:val="24"/>
          <w:szCs w:val="24"/>
        </w:rPr>
        <w:t xml:space="preserve"> spominjane osobe u točkama a) – </w:t>
      </w:r>
      <w:r>
        <w:rPr>
          <w:rFonts w:cs="Times New Roman"/>
          <w:sz w:val="24"/>
          <w:szCs w:val="24"/>
        </w:rPr>
        <w:t>e</w:t>
      </w:r>
      <w:r w:rsidRPr="00FC67FC">
        <w:rPr>
          <w:rFonts w:cs="Times New Roman"/>
          <w:sz w:val="24"/>
          <w:szCs w:val="24"/>
        </w:rPr>
        <w:t xml:space="preserve">) </w:t>
      </w:r>
      <w:r w:rsidRPr="00FC67FC">
        <w:rPr>
          <w:rFonts w:cs="Times New Roman"/>
          <w:b/>
          <w:sz w:val="24"/>
          <w:szCs w:val="24"/>
        </w:rPr>
        <w:t>ne nalaze niti u jednoj od situacija</w:t>
      </w:r>
      <w:r w:rsidRPr="00FC67FC">
        <w:rPr>
          <w:rFonts w:cs="Times New Roman"/>
          <w:sz w:val="24"/>
          <w:szCs w:val="24"/>
        </w:rPr>
        <w:t>:</w:t>
      </w:r>
    </w:p>
    <w:p w14:paraId="0B4C3BCC" w14:textId="77777777" w:rsidR="00FC67FC" w:rsidRPr="00FC67FC" w:rsidRDefault="00FC67FC" w:rsidP="00FC67FC">
      <w:pPr>
        <w:pStyle w:val="ListParagraph"/>
        <w:numPr>
          <w:ilvl w:val="0"/>
          <w:numId w:val="7"/>
        </w:numPr>
        <w:spacing w:line="240" w:lineRule="auto"/>
        <w:rPr>
          <w:rFonts w:cs="Times New Roman"/>
          <w:sz w:val="24"/>
          <w:szCs w:val="24"/>
        </w:rPr>
      </w:pPr>
      <w:r w:rsidRPr="00FC67FC">
        <w:rPr>
          <w:rFonts w:cs="Times New Roman"/>
          <w:sz w:val="24"/>
          <w:szCs w:val="24"/>
        </w:rPr>
        <w:t xml:space="preserve">da je nad </w:t>
      </w:r>
      <w:r>
        <w:rPr>
          <w:rFonts w:cs="Times New Roman"/>
          <w:sz w:val="24"/>
          <w:szCs w:val="24"/>
        </w:rPr>
        <w:t>Ponuditelj</w:t>
      </w:r>
      <w:r w:rsidRPr="00FC67FC">
        <w:rPr>
          <w:rFonts w:cs="Times New Roman"/>
          <w:sz w:val="24"/>
          <w:szCs w:val="24"/>
        </w:rPr>
        <w:t xml:space="preserve">em podnesen </w:t>
      </w:r>
      <w:r w:rsidRPr="00FC67FC">
        <w:rPr>
          <w:rFonts w:cs="Times New Roman"/>
          <w:b/>
          <w:sz w:val="24"/>
          <w:szCs w:val="24"/>
        </w:rPr>
        <w:t xml:space="preserve">prijedlog za pokretanje </w:t>
      </w:r>
      <w:proofErr w:type="spellStart"/>
      <w:r w:rsidRPr="00FC67FC">
        <w:rPr>
          <w:rFonts w:cs="Times New Roman"/>
          <w:b/>
          <w:sz w:val="24"/>
          <w:szCs w:val="24"/>
        </w:rPr>
        <w:t>predstečajnog</w:t>
      </w:r>
      <w:proofErr w:type="spellEnd"/>
      <w:r w:rsidRPr="00FC67FC">
        <w:rPr>
          <w:rFonts w:cs="Times New Roman"/>
          <w:b/>
          <w:sz w:val="24"/>
          <w:szCs w:val="24"/>
        </w:rPr>
        <w:t xml:space="preserve"> ili stečajnog postupka</w:t>
      </w:r>
      <w:r w:rsidRPr="00FC67FC">
        <w:rPr>
          <w:rFonts w:cs="Times New Roman"/>
          <w:sz w:val="24"/>
          <w:szCs w:val="24"/>
        </w:rPr>
        <w:t xml:space="preserve">; pokrenut </w:t>
      </w:r>
      <w:r w:rsidRPr="00FC67FC">
        <w:rPr>
          <w:rFonts w:cs="Times New Roman"/>
          <w:b/>
          <w:sz w:val="24"/>
          <w:szCs w:val="24"/>
        </w:rPr>
        <w:t>prethodni postupak</w:t>
      </w:r>
      <w:r w:rsidRPr="00FC67FC">
        <w:rPr>
          <w:rFonts w:cs="Times New Roman"/>
          <w:sz w:val="24"/>
          <w:szCs w:val="24"/>
        </w:rPr>
        <w:t xml:space="preserve"> radi utvrđivanja uvjeta za otvaranje stečajnog postupka; </w:t>
      </w:r>
      <w:r w:rsidRPr="00FC67FC">
        <w:rPr>
          <w:rFonts w:cs="Times New Roman"/>
          <w:b/>
          <w:sz w:val="24"/>
          <w:szCs w:val="24"/>
        </w:rPr>
        <w:t xml:space="preserve">otvoren </w:t>
      </w:r>
      <w:proofErr w:type="spellStart"/>
      <w:r w:rsidRPr="00FC67FC">
        <w:rPr>
          <w:rFonts w:cs="Times New Roman"/>
          <w:b/>
          <w:sz w:val="24"/>
          <w:szCs w:val="24"/>
        </w:rPr>
        <w:t>predstečajni</w:t>
      </w:r>
      <w:proofErr w:type="spellEnd"/>
      <w:r w:rsidRPr="00FC67FC">
        <w:rPr>
          <w:rFonts w:cs="Times New Roman"/>
          <w:b/>
          <w:sz w:val="24"/>
          <w:szCs w:val="24"/>
        </w:rPr>
        <w:t xml:space="preserve"> ili stečajni postupak</w:t>
      </w:r>
      <w:r w:rsidRPr="00FC67FC">
        <w:rPr>
          <w:rFonts w:cs="Times New Roman"/>
          <w:sz w:val="24"/>
          <w:szCs w:val="24"/>
        </w:rPr>
        <w:t xml:space="preserve">, ispunjeni uvjeti za pokretanje ili je pokrenut </w:t>
      </w:r>
      <w:r w:rsidRPr="00FC67FC">
        <w:rPr>
          <w:rFonts w:cs="Times New Roman"/>
          <w:b/>
          <w:sz w:val="24"/>
          <w:szCs w:val="24"/>
        </w:rPr>
        <w:t>postupak likvidacije</w:t>
      </w:r>
      <w:r w:rsidRPr="00FC67FC">
        <w:rPr>
          <w:rFonts w:cs="Times New Roman"/>
          <w:sz w:val="24"/>
          <w:szCs w:val="24"/>
        </w:rPr>
        <w:t xml:space="preserve"> (po službenoj dužnosti ili po prijedlogu); podnesen prijedlog za otvaranje </w:t>
      </w:r>
      <w:r w:rsidRPr="00FC67FC">
        <w:rPr>
          <w:rFonts w:cs="Times New Roman"/>
          <w:b/>
          <w:sz w:val="24"/>
          <w:szCs w:val="24"/>
        </w:rPr>
        <w:t>postupka izvanredne uprave</w:t>
      </w:r>
      <w:r w:rsidRPr="00FC67FC">
        <w:rPr>
          <w:rFonts w:cs="Times New Roman"/>
          <w:sz w:val="24"/>
          <w:szCs w:val="24"/>
        </w:rPr>
        <w:t xml:space="preserve">; da njime upravlja </w:t>
      </w:r>
      <w:r w:rsidRPr="00FC67FC">
        <w:rPr>
          <w:rFonts w:cs="Times New Roman"/>
          <w:b/>
          <w:sz w:val="24"/>
          <w:szCs w:val="24"/>
        </w:rPr>
        <w:t>osoba postavljena od strane nadležnog suda</w:t>
      </w:r>
      <w:r w:rsidRPr="00FC67FC">
        <w:rPr>
          <w:rFonts w:cs="Times New Roman"/>
          <w:sz w:val="24"/>
          <w:szCs w:val="24"/>
        </w:rPr>
        <w:t xml:space="preserve"> ili je pokrenut postupak nadležnog suda za postavljanje osobe koja će njime upravljati; da je u </w:t>
      </w:r>
      <w:r w:rsidRPr="00FC67FC">
        <w:rPr>
          <w:rFonts w:cs="Times New Roman"/>
          <w:b/>
          <w:sz w:val="24"/>
          <w:szCs w:val="24"/>
        </w:rPr>
        <w:t>nagodbi s vjerovnicima</w:t>
      </w:r>
      <w:r w:rsidRPr="00FC67FC">
        <w:rPr>
          <w:rFonts w:cs="Times New Roman"/>
          <w:sz w:val="24"/>
          <w:szCs w:val="24"/>
        </w:rPr>
        <w:t xml:space="preserve"> ili je pokrenut postupak nagodbe s vjerovnicima; da je </w:t>
      </w:r>
      <w:r w:rsidRPr="00FC67FC">
        <w:rPr>
          <w:rFonts w:cs="Times New Roman"/>
          <w:b/>
          <w:sz w:val="24"/>
          <w:szCs w:val="24"/>
        </w:rPr>
        <w:t>obustavio poslovne djelatnosti</w:t>
      </w:r>
      <w:r w:rsidRPr="00FC67FC">
        <w:rPr>
          <w:rFonts w:cs="Times New Roman"/>
          <w:sz w:val="24"/>
          <w:szCs w:val="24"/>
        </w:rPr>
        <w:t xml:space="preserve">, ili da se nalazi u postupku koji su, prema propisima države njegova sjedišta ili </w:t>
      </w:r>
      <w:proofErr w:type="spellStart"/>
      <w:r w:rsidRPr="00FC67FC">
        <w:rPr>
          <w:rFonts w:cs="Times New Roman"/>
          <w:sz w:val="24"/>
          <w:szCs w:val="24"/>
        </w:rPr>
        <w:t>nastana</w:t>
      </w:r>
      <w:proofErr w:type="spellEnd"/>
      <w:r w:rsidRPr="00FC67FC">
        <w:rPr>
          <w:rFonts w:cs="Times New Roman"/>
          <w:sz w:val="24"/>
          <w:szCs w:val="24"/>
        </w:rPr>
        <w:t xml:space="preserve"> kojima se regulira pitanje </w:t>
      </w:r>
      <w:proofErr w:type="spellStart"/>
      <w:r w:rsidRPr="00FC67FC">
        <w:rPr>
          <w:rFonts w:cs="Times New Roman"/>
          <w:sz w:val="24"/>
          <w:szCs w:val="24"/>
        </w:rPr>
        <w:t>insolvencijskog</w:t>
      </w:r>
      <w:proofErr w:type="spellEnd"/>
      <w:r w:rsidRPr="00FC67FC">
        <w:rPr>
          <w:rFonts w:cs="Times New Roman"/>
          <w:sz w:val="24"/>
          <w:szCs w:val="24"/>
        </w:rPr>
        <w:t xml:space="preserve"> prava, slični nekom od prethodno navedenih postupaka,</w:t>
      </w:r>
    </w:p>
    <w:p w14:paraId="069EC35A" w14:textId="77777777" w:rsidR="00FC67FC" w:rsidRPr="00FC67FC" w:rsidRDefault="00FC67FC" w:rsidP="00FC67FC">
      <w:pPr>
        <w:pStyle w:val="ListParagraph"/>
        <w:numPr>
          <w:ilvl w:val="0"/>
          <w:numId w:val="7"/>
        </w:numPr>
        <w:spacing w:line="240" w:lineRule="auto"/>
        <w:rPr>
          <w:rFonts w:cs="Times New Roman"/>
          <w:sz w:val="24"/>
          <w:szCs w:val="24"/>
        </w:rPr>
      </w:pPr>
      <w:r w:rsidRPr="00FC67FC">
        <w:rPr>
          <w:rFonts w:cs="Times New Roman"/>
          <w:sz w:val="24"/>
          <w:szCs w:val="24"/>
        </w:rPr>
        <w:t xml:space="preserve">da je protiv Ponuditelja koji ima poslovni </w:t>
      </w:r>
      <w:proofErr w:type="spellStart"/>
      <w:r w:rsidRPr="00FC67FC">
        <w:rPr>
          <w:rFonts w:cs="Times New Roman"/>
          <w:sz w:val="24"/>
          <w:szCs w:val="24"/>
        </w:rPr>
        <w:t>nastan</w:t>
      </w:r>
      <w:proofErr w:type="spellEnd"/>
      <w:r w:rsidRPr="00FC67FC">
        <w:rPr>
          <w:rFonts w:cs="Times New Roman"/>
          <w:sz w:val="24"/>
          <w:szCs w:val="24"/>
        </w:rPr>
        <w:t xml:space="preserve"> u Republici Hrvatskoj ili osobe koja je član njegovog upravnog, upravljačkog ili nadzornog tijela ili ima ovlasti zastupanja, donošenja odluka ili nadzora ponuditelja i koja je državljanin Republike Hrvatske izrečena </w:t>
      </w:r>
      <w:r w:rsidRPr="00FC67FC">
        <w:rPr>
          <w:rFonts w:cs="Times New Roman"/>
          <w:b/>
          <w:sz w:val="24"/>
          <w:szCs w:val="24"/>
        </w:rPr>
        <w:t>pravomoćna osuđujuća presuda</w:t>
      </w:r>
      <w:r w:rsidRPr="00FC67FC">
        <w:rPr>
          <w:rFonts w:cs="Times New Roman"/>
          <w:sz w:val="24"/>
          <w:szCs w:val="24"/>
        </w:rPr>
        <w:t xml:space="preserve"> za jedno ili više sljedećih kaznenih djela: </w:t>
      </w:r>
    </w:p>
    <w:p w14:paraId="13B8F6B1" w14:textId="77777777" w:rsidR="00FC67FC" w:rsidRPr="00FC67FC" w:rsidRDefault="00FC67FC" w:rsidP="00FC67FC">
      <w:pPr>
        <w:pStyle w:val="ListParagraph"/>
        <w:numPr>
          <w:ilvl w:val="0"/>
          <w:numId w:val="6"/>
        </w:numPr>
        <w:spacing w:line="240" w:lineRule="auto"/>
        <w:rPr>
          <w:rFonts w:cs="Times New Roman"/>
          <w:sz w:val="24"/>
          <w:szCs w:val="24"/>
        </w:rPr>
      </w:pPr>
      <w:r w:rsidRPr="00FC67FC">
        <w:rPr>
          <w:rFonts w:cs="Times New Roman"/>
          <w:sz w:val="24"/>
          <w:szCs w:val="24"/>
        </w:rPr>
        <w:t>sudjelovanje u zločinačkoj organizaciji, na temelju članka 328. (zločinačko udruženje) i članka 329. (počinjenje kaznenog djela u sastavu zločinačkog udruženja) iz Kaznenog zakona (NN 125/2011, 144/2012, 56/2015, 61/2015),  članka 333. (udruživanje za počinjenje kaznenih djela), iz Kaznenog zakona (NN 110/97., 27/98., 50/00., 129/00., 51/01., 111/03., 190/03., 105/04., 84/05., 71/06., 110/07., 152/08., 57/11., 77/11. i 143/12);</w:t>
      </w:r>
    </w:p>
    <w:p w14:paraId="39DC911C" w14:textId="77777777" w:rsidR="00FC67FC" w:rsidRPr="00FC67FC" w:rsidRDefault="00FC67FC" w:rsidP="00FC67FC">
      <w:pPr>
        <w:pStyle w:val="ListParagraph"/>
        <w:numPr>
          <w:ilvl w:val="0"/>
          <w:numId w:val="6"/>
        </w:numPr>
        <w:spacing w:line="240" w:lineRule="auto"/>
        <w:rPr>
          <w:rFonts w:cs="Times New Roman"/>
          <w:sz w:val="24"/>
          <w:szCs w:val="24"/>
        </w:rPr>
      </w:pPr>
      <w:r w:rsidRPr="00FC67FC">
        <w:rPr>
          <w:rFonts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(NN110/97., 27/98., 50/00., 129/00., 51/01., 111/03., 190/03., 105/04., 84/05., 71/06., 110/07., 152/08., 57/11., 77/11. i 143/12);</w:t>
      </w:r>
    </w:p>
    <w:p w14:paraId="5DB7AA79" w14:textId="77777777" w:rsidR="00FC67FC" w:rsidRPr="00FC67FC" w:rsidRDefault="00FC67FC" w:rsidP="00FC67FC">
      <w:pPr>
        <w:pStyle w:val="ListParagraph"/>
        <w:numPr>
          <w:ilvl w:val="0"/>
          <w:numId w:val="6"/>
        </w:numPr>
        <w:spacing w:line="240" w:lineRule="auto"/>
        <w:rPr>
          <w:rFonts w:cs="Times New Roman"/>
          <w:sz w:val="24"/>
          <w:szCs w:val="24"/>
        </w:rPr>
      </w:pPr>
      <w:r w:rsidRPr="00FC67FC">
        <w:rPr>
          <w:rFonts w:cs="Times New Roman"/>
          <w:sz w:val="24"/>
          <w:szCs w:val="24"/>
        </w:rPr>
        <w:t>prijevaru, na temelju članka 236. (prijevara), članka 247. (prijevara u gospodarskom poslovanju), članka 256. (utaja poreza ili carine) i članka 258. (subvencijska prijevara) Kaznenog zakona (NN 125/2011, 144/2012, 56/2015, 61/2015) i članka 224. (prijevara), članka 293. (prijevara u gospodarskom poslovanju) i članka 286. (utaja poreza i drugih davanja) iz Kaznenog zakona (NN 110/97., 27/98., 50/00., 129/00., 51/01., 111/03., 190/03., 105/04., 84/05., 71/06., 110/07., 152/08., 57/11., 77/11. i 143/12);</w:t>
      </w:r>
    </w:p>
    <w:p w14:paraId="6A13D2D9" w14:textId="77777777" w:rsidR="00FC67FC" w:rsidRPr="00FC67FC" w:rsidRDefault="00FC67FC" w:rsidP="00FC67FC">
      <w:pPr>
        <w:pStyle w:val="ListParagraph"/>
        <w:numPr>
          <w:ilvl w:val="0"/>
          <w:numId w:val="6"/>
        </w:numPr>
        <w:spacing w:line="240" w:lineRule="auto"/>
        <w:rPr>
          <w:rFonts w:cs="Times New Roman"/>
          <w:sz w:val="24"/>
          <w:szCs w:val="24"/>
        </w:rPr>
      </w:pPr>
      <w:r w:rsidRPr="00FC67FC">
        <w:rPr>
          <w:rFonts w:cs="Times New Roman"/>
          <w:sz w:val="24"/>
          <w:szCs w:val="24"/>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(NN 125/2011, 144/2012, 56/2015, 61/2015) i članka 169. </w:t>
      </w:r>
      <w:r w:rsidRPr="00FC67FC">
        <w:rPr>
          <w:rFonts w:cs="Times New Roman"/>
          <w:sz w:val="24"/>
          <w:szCs w:val="24"/>
        </w:rPr>
        <w:lastRenderedPageBreak/>
        <w:t>(terorizam), članka 169.a (javno poticanje na terorizam) i članka 169.b (novačenje i obuka za terorizam) iz Kaznenog zakona (NN 110/97., 27/98., 50/00., 129/00., 51/01., 111/03., 190/03., 105/04., 84/05., 71/06., 110/07., 152/08., 57/11., 77/11. i 143/12);</w:t>
      </w:r>
    </w:p>
    <w:p w14:paraId="158CC872" w14:textId="77777777" w:rsidR="00FC67FC" w:rsidRPr="00FC67FC" w:rsidRDefault="00FC67FC" w:rsidP="00FC67FC">
      <w:pPr>
        <w:pStyle w:val="ListParagraph"/>
        <w:numPr>
          <w:ilvl w:val="0"/>
          <w:numId w:val="6"/>
        </w:numPr>
        <w:spacing w:line="240" w:lineRule="auto"/>
        <w:rPr>
          <w:rFonts w:cs="Times New Roman"/>
          <w:sz w:val="24"/>
          <w:szCs w:val="24"/>
        </w:rPr>
      </w:pPr>
      <w:r w:rsidRPr="00FC67FC">
        <w:rPr>
          <w:rFonts w:cs="Times New Roman"/>
          <w:sz w:val="24"/>
          <w:szCs w:val="24"/>
        </w:rPr>
        <w:t>pranje novca ili financiranje terorizma, na temelju članka 98. (financiranje terorizma) i članka 265. (pranje novca) Kaznenog zakona (NN 125/2011, 144/2012, 56/2015, 61/2015) i članka 279. (pranje novca) iz Kaznenog zakona (NN 110/97., 27/98., 50/00., 129/00., 51/01., 111/03., 190/03., 105/04., 84/05., 71/06., 110/07., 152/08., 57/11., 77/11. i 143/12.);</w:t>
      </w:r>
    </w:p>
    <w:p w14:paraId="54F26952" w14:textId="77777777" w:rsidR="00FC67FC" w:rsidRPr="00FC67FC" w:rsidRDefault="00FC67FC" w:rsidP="00FC67FC">
      <w:pPr>
        <w:pStyle w:val="ListParagraph"/>
        <w:numPr>
          <w:ilvl w:val="0"/>
          <w:numId w:val="6"/>
        </w:numPr>
        <w:spacing w:line="240" w:lineRule="auto"/>
        <w:rPr>
          <w:rFonts w:cs="Times New Roman"/>
          <w:sz w:val="24"/>
          <w:szCs w:val="24"/>
        </w:rPr>
      </w:pPr>
      <w:r w:rsidRPr="00FC67FC">
        <w:rPr>
          <w:rFonts w:cs="Times New Roman"/>
          <w:sz w:val="24"/>
          <w:szCs w:val="24"/>
        </w:rPr>
        <w:t xml:space="preserve">dječji rad ili druge oblike trgovanja ljudima, na temelju članka 106. (trgovanje ljudima) Kaznenog zakona (NN 125/2011, 144/2012, 56/2015, 61/2015) i  članka 175. (trgovanje ljudima i ropstvo) iz Kaznenog zakona (NN 110/97., 27/98., 50/00., 129/00., 51/01., 111/03., 190/03., 105/04., 84/05., 71/06., 110/07., 152/08., 57/11., 77/11. i 143/12), </w:t>
      </w:r>
    </w:p>
    <w:p w14:paraId="72BF598F" w14:textId="77777777" w:rsidR="00FC67FC" w:rsidRPr="00FC67FC" w:rsidRDefault="00FC67FC" w:rsidP="00FC67FC">
      <w:pPr>
        <w:pStyle w:val="ListParagraph"/>
        <w:numPr>
          <w:ilvl w:val="0"/>
          <w:numId w:val="7"/>
        </w:numPr>
        <w:spacing w:line="240" w:lineRule="auto"/>
        <w:rPr>
          <w:rFonts w:cs="Times New Roman"/>
          <w:sz w:val="24"/>
          <w:szCs w:val="24"/>
        </w:rPr>
      </w:pPr>
      <w:r w:rsidRPr="00FC67FC">
        <w:rPr>
          <w:rFonts w:cs="Times New Roman"/>
          <w:sz w:val="24"/>
          <w:szCs w:val="24"/>
        </w:rPr>
        <w:t xml:space="preserve">da je protiv Ponuditelja koji nema poslovni </w:t>
      </w:r>
      <w:proofErr w:type="spellStart"/>
      <w:r w:rsidRPr="00FC67FC">
        <w:rPr>
          <w:rFonts w:cs="Times New Roman"/>
          <w:sz w:val="24"/>
          <w:szCs w:val="24"/>
        </w:rPr>
        <w:t>nastan</w:t>
      </w:r>
      <w:proofErr w:type="spellEnd"/>
      <w:r w:rsidRPr="00FC67FC">
        <w:rPr>
          <w:rFonts w:cs="Times New Roman"/>
          <w:sz w:val="24"/>
          <w:szCs w:val="24"/>
        </w:rPr>
        <w:t xml:space="preserve"> u Republici Hrvatskoj ili osobe koja je član upravnog, upravljačkog ili nadzornog tijela ili ima ovlasti zastupanja, donošenja odluka ili nadzora toga gospodarskog subjekta i koja nije državljanin Republike Hrvatske izrečena pravomoćna sudska presuda kojom je osuđen za kaznena djela iz točke b) ove izjave i/ili za odgovarajuća kaznena djela, prema nacionalnim propisima države poslovnog </w:t>
      </w:r>
      <w:proofErr w:type="spellStart"/>
      <w:r w:rsidRPr="00FC67FC">
        <w:rPr>
          <w:rFonts w:cs="Times New Roman"/>
          <w:sz w:val="24"/>
          <w:szCs w:val="24"/>
        </w:rPr>
        <w:t>nastana</w:t>
      </w:r>
      <w:proofErr w:type="spellEnd"/>
      <w:r w:rsidRPr="00FC67FC">
        <w:rPr>
          <w:rFonts w:cs="Times New Roman"/>
          <w:sz w:val="24"/>
          <w:szCs w:val="24"/>
        </w:rPr>
        <w:t xml:space="preserve"> gospodarskog subjekta ili države čiji je državljanin osoba koja je član upravnog, upravljačkog ili nadzornog tijela ili ima ovlasti zastupanja, donošenja odluka ili nadzora toga gospodarskog subjekta,</w:t>
      </w:r>
    </w:p>
    <w:p w14:paraId="31DBBCEF" w14:textId="77777777" w:rsidR="00FC67FC" w:rsidRPr="00FC67FC" w:rsidRDefault="00FC67FC" w:rsidP="00FC67FC">
      <w:pPr>
        <w:pStyle w:val="ListParagraph"/>
        <w:numPr>
          <w:ilvl w:val="0"/>
          <w:numId w:val="7"/>
        </w:numPr>
        <w:spacing w:line="240" w:lineRule="auto"/>
        <w:rPr>
          <w:rFonts w:cs="Times New Roman"/>
          <w:sz w:val="24"/>
          <w:szCs w:val="24"/>
        </w:rPr>
      </w:pPr>
      <w:r w:rsidRPr="00FC67FC">
        <w:rPr>
          <w:rFonts w:cs="Times New Roman"/>
          <w:sz w:val="24"/>
          <w:szCs w:val="24"/>
        </w:rPr>
        <w:t xml:space="preserve">da je Ponuditelj/osobe ovlaštene po zakonu za zastupanje proglašen krivim zbog </w:t>
      </w:r>
      <w:r w:rsidRPr="00FC67FC">
        <w:rPr>
          <w:rFonts w:cs="Times New Roman"/>
          <w:b/>
          <w:sz w:val="24"/>
          <w:szCs w:val="24"/>
        </w:rPr>
        <w:t>teškog profesionalnog propusta</w:t>
      </w:r>
      <w:r w:rsidRPr="00FC67FC">
        <w:rPr>
          <w:rFonts w:cs="Times New Roman"/>
          <w:i/>
          <w:iCs/>
          <w:sz w:val="24"/>
          <w:szCs w:val="24"/>
        </w:rPr>
        <w:t>,</w:t>
      </w:r>
    </w:p>
    <w:p w14:paraId="55EBEB93" w14:textId="77777777" w:rsidR="00FC67FC" w:rsidRPr="00FC67FC" w:rsidRDefault="00FC67FC" w:rsidP="00FC67FC">
      <w:pPr>
        <w:pStyle w:val="ListParagraph"/>
        <w:numPr>
          <w:ilvl w:val="0"/>
          <w:numId w:val="7"/>
        </w:numPr>
        <w:spacing w:line="240" w:lineRule="auto"/>
        <w:rPr>
          <w:rFonts w:cs="Times New Roman"/>
          <w:sz w:val="24"/>
          <w:szCs w:val="24"/>
        </w:rPr>
      </w:pPr>
      <w:r w:rsidRPr="00FC67FC">
        <w:rPr>
          <w:rFonts w:cs="Times New Roman"/>
          <w:sz w:val="24"/>
          <w:szCs w:val="24"/>
        </w:rPr>
        <w:t xml:space="preserve">da nije ispunjena obveza isplate </w:t>
      </w:r>
      <w:r w:rsidRPr="00FC67FC">
        <w:rPr>
          <w:rFonts w:cs="Times New Roman"/>
          <w:b/>
          <w:sz w:val="24"/>
          <w:szCs w:val="24"/>
        </w:rPr>
        <w:t>plaća</w:t>
      </w:r>
      <w:r w:rsidRPr="00FC67FC">
        <w:rPr>
          <w:rFonts w:cs="Times New Roman"/>
          <w:sz w:val="24"/>
          <w:szCs w:val="24"/>
        </w:rPr>
        <w:t xml:space="preserve"> zaposlenicima, </w:t>
      </w:r>
      <w:r w:rsidRPr="00FC67FC">
        <w:rPr>
          <w:rFonts w:cs="Times New Roman"/>
          <w:b/>
          <w:sz w:val="24"/>
          <w:szCs w:val="24"/>
        </w:rPr>
        <w:t>plaćanja doprinosa za financiranje obveznih osiguranja</w:t>
      </w:r>
      <w:r w:rsidRPr="00FC67FC">
        <w:rPr>
          <w:rFonts w:cs="Times New Roman"/>
          <w:sz w:val="24"/>
          <w:szCs w:val="24"/>
        </w:rPr>
        <w:t xml:space="preserve"> (osobito zdravstveno ili mirovinsko) ili plaćanja </w:t>
      </w:r>
      <w:r w:rsidRPr="00FC67FC">
        <w:rPr>
          <w:rFonts w:cs="Times New Roman"/>
          <w:b/>
          <w:sz w:val="24"/>
          <w:szCs w:val="24"/>
        </w:rPr>
        <w:t>poreza</w:t>
      </w:r>
      <w:r w:rsidRPr="00FC67FC">
        <w:rPr>
          <w:rFonts w:cs="Times New Roman"/>
          <w:sz w:val="24"/>
          <w:szCs w:val="24"/>
        </w:rPr>
        <w:t xml:space="preserve"> u skladu s propisima Republike Hrvatske kao države u kojoj je osnovan Ponuditelj i u skladu s propisima države poslovnog </w:t>
      </w:r>
      <w:proofErr w:type="spellStart"/>
      <w:r w:rsidRPr="00FC67FC">
        <w:rPr>
          <w:rFonts w:cs="Times New Roman"/>
          <w:sz w:val="24"/>
          <w:szCs w:val="24"/>
        </w:rPr>
        <w:t>nastana</w:t>
      </w:r>
      <w:proofErr w:type="spellEnd"/>
      <w:r w:rsidRPr="00FC67FC">
        <w:rPr>
          <w:rFonts w:cs="Times New Roman"/>
          <w:sz w:val="24"/>
          <w:szCs w:val="24"/>
        </w:rPr>
        <w:t xml:space="preserve"> Ponuditelja (ako oni nemaju poslovni </w:t>
      </w:r>
      <w:proofErr w:type="spellStart"/>
      <w:r w:rsidRPr="00FC67FC">
        <w:rPr>
          <w:rFonts w:cs="Times New Roman"/>
          <w:sz w:val="24"/>
          <w:szCs w:val="24"/>
        </w:rPr>
        <w:t>nastan</w:t>
      </w:r>
      <w:proofErr w:type="spellEnd"/>
      <w:r w:rsidRPr="00FC67FC">
        <w:rPr>
          <w:rFonts w:cs="Times New Roman"/>
          <w:sz w:val="24"/>
          <w:szCs w:val="24"/>
        </w:rPr>
        <w:t xml:space="preserve"> u Republici Hrvatskoj). U pogledu ove točke, smatra se prihvatljivim da Ponuditelj nije udovoljio spomenutim obvezama, ako mu, sukladno posebnom propisu, plaćanje tih obveza nije dopušteno ili mu je odobrena odgoda plaćanja</w:t>
      </w:r>
      <w:r w:rsidRPr="00FC67FC">
        <w:rPr>
          <w:rFonts w:cs="Times New Roman"/>
          <w:iCs/>
          <w:sz w:val="24"/>
          <w:szCs w:val="24"/>
        </w:rPr>
        <w:t>,</w:t>
      </w:r>
    </w:p>
    <w:p w14:paraId="56B93C92" w14:textId="77777777" w:rsidR="007C08EE" w:rsidRPr="007C08EE" w:rsidRDefault="007C08EE" w:rsidP="00392EF3">
      <w:pPr>
        <w:pStyle w:val="ListParagraph"/>
        <w:numPr>
          <w:ilvl w:val="0"/>
          <w:numId w:val="7"/>
        </w:numPr>
        <w:rPr>
          <w:rStyle w:val="fontstyle21"/>
          <w:rFonts w:asciiTheme="minorHAnsi" w:hAnsiTheme="minorHAnsi"/>
          <w:color w:val="auto"/>
          <w:sz w:val="22"/>
          <w:szCs w:val="22"/>
        </w:rPr>
      </w:pPr>
      <w:r w:rsidRPr="007C08EE">
        <w:rPr>
          <w:rStyle w:val="fontstyle21"/>
          <w:rFonts w:ascii="Times New Roman" w:hAnsi="Times New Roman" w:cs="Times New Roman"/>
          <w:sz w:val="24"/>
          <w:szCs w:val="24"/>
        </w:rPr>
        <w:t>da Ponuditelj nije lažno predstavio ili pružio neistinite podatke u vezi s uvjetima koje je Naručitelj naveo kao razloge za isključenje ili uvjete kvalifikacije.</w:t>
      </w:r>
    </w:p>
    <w:p w14:paraId="1B558289" w14:textId="77777777" w:rsidR="007C08EE" w:rsidRDefault="007C08EE" w:rsidP="00392EF3">
      <w:pPr>
        <w:pStyle w:val="ListParagraph"/>
        <w:numPr>
          <w:ilvl w:val="0"/>
          <w:numId w:val="7"/>
        </w:numPr>
      </w:pPr>
      <w:r>
        <w:rPr>
          <w:rStyle w:val="fontstyle21"/>
          <w:rFonts w:ascii="Times New Roman" w:hAnsi="Times New Roman" w:cs="Times New Roman"/>
          <w:sz w:val="24"/>
          <w:szCs w:val="24"/>
        </w:rPr>
        <w:t>da</w:t>
      </w:r>
      <w:r w:rsidRPr="007C08EE">
        <w:rPr>
          <w:rStyle w:val="fontstyle21"/>
          <w:rFonts w:ascii="Times New Roman" w:hAnsi="Times New Roman" w:cs="Times New Roman"/>
          <w:sz w:val="24"/>
          <w:szCs w:val="24"/>
        </w:rPr>
        <w:t xml:space="preserve"> postoji sukob interesa između Ponuditelja i članova Odbora za nabavu, osobe ovlaštene</w:t>
      </w:r>
      <w:r>
        <w:rPr>
          <w:rStyle w:val="fontstyle21"/>
          <w:rFonts w:ascii="Times New Roman" w:hAnsi="Times New Roman" w:cs="Times New Roman"/>
          <w:sz w:val="24"/>
          <w:szCs w:val="24"/>
        </w:rPr>
        <w:t xml:space="preserve"> </w:t>
      </w:r>
      <w:r w:rsidRPr="007C08EE">
        <w:rPr>
          <w:rStyle w:val="fontstyle21"/>
          <w:rFonts w:ascii="Times New Roman" w:hAnsi="Times New Roman" w:cs="Times New Roman"/>
          <w:sz w:val="24"/>
          <w:szCs w:val="24"/>
        </w:rPr>
        <w:t>za zastupanje Naručitelja ili osobe imenovane za provođenje postupka nabave koji se ne</w:t>
      </w:r>
      <w:r>
        <w:rPr>
          <w:rStyle w:val="fontstyle21"/>
          <w:rFonts w:ascii="Times New Roman" w:hAnsi="Times New Roman" w:cs="Times New Roman"/>
          <w:sz w:val="24"/>
          <w:szCs w:val="24"/>
        </w:rPr>
        <w:t xml:space="preserve"> </w:t>
      </w:r>
      <w:r w:rsidRPr="007C08EE">
        <w:rPr>
          <w:rStyle w:val="fontstyle21"/>
          <w:rFonts w:ascii="Times New Roman" w:hAnsi="Times New Roman" w:cs="Times New Roman"/>
          <w:sz w:val="24"/>
          <w:szCs w:val="24"/>
        </w:rPr>
        <w:t>može učinkovito ukloniti izuzimanjem navedenih osoba.</w:t>
      </w:r>
      <w:r w:rsidRPr="007C08EE">
        <w:rPr>
          <w:rFonts w:ascii="Times New Roman" w:hAnsi="Times New Roman" w:cs="Times New Roman"/>
          <w:color w:val="000000"/>
          <w:sz w:val="24"/>
          <w:szCs w:val="24"/>
        </w:rPr>
        <w:br/>
      </w:r>
      <w:bookmarkStart w:id="0" w:name="_GoBack"/>
    </w:p>
    <w:p w14:paraId="3A7D7EE9" w14:textId="77777777" w:rsidR="00257BCC" w:rsidRPr="00257BCC" w:rsidRDefault="00257BCC" w:rsidP="00257BCC">
      <w:pPr>
        <w:spacing w:line="240" w:lineRule="auto"/>
        <w:contextualSpacing/>
        <w:jc w:val="both"/>
        <w:rPr>
          <w:rFonts w:cs="Times New Roman"/>
          <w:sz w:val="24"/>
          <w:szCs w:val="24"/>
        </w:rPr>
      </w:pPr>
    </w:p>
    <w:p w14:paraId="7B7A92DF" w14:textId="6FE8AC4A" w:rsidR="00257BCC" w:rsidRPr="00257BCC" w:rsidRDefault="00257BCC" w:rsidP="00257BCC">
      <w:pPr>
        <w:spacing w:line="240" w:lineRule="auto"/>
        <w:contextualSpacing/>
        <w:jc w:val="both"/>
        <w:rPr>
          <w:rFonts w:cs="Times New Roman"/>
          <w:sz w:val="24"/>
          <w:szCs w:val="24"/>
        </w:rPr>
      </w:pPr>
      <w:r w:rsidRPr="00257BCC">
        <w:rPr>
          <w:rFonts w:cs="Times New Roman"/>
          <w:sz w:val="24"/>
          <w:szCs w:val="24"/>
        </w:rPr>
        <w:t>U_______</w:t>
      </w:r>
      <w:r w:rsidR="00C90693">
        <w:rPr>
          <w:rFonts w:cs="Times New Roman"/>
          <w:sz w:val="24"/>
          <w:szCs w:val="24"/>
        </w:rPr>
        <w:t>_____________ , __</w:t>
      </w:r>
      <w:r w:rsidR="00D46E9F">
        <w:rPr>
          <w:rFonts w:cs="Times New Roman"/>
          <w:sz w:val="24"/>
          <w:szCs w:val="24"/>
        </w:rPr>
        <w:t>___</w:t>
      </w:r>
      <w:r w:rsidR="00C90693">
        <w:rPr>
          <w:rFonts w:cs="Times New Roman"/>
          <w:sz w:val="24"/>
          <w:szCs w:val="24"/>
        </w:rPr>
        <w:t>____ 20</w:t>
      </w:r>
      <w:r w:rsidR="003452B7">
        <w:rPr>
          <w:rFonts w:cs="Times New Roman"/>
          <w:sz w:val="24"/>
          <w:szCs w:val="24"/>
        </w:rPr>
        <w:t>20</w:t>
      </w:r>
      <w:r w:rsidRPr="00257BCC">
        <w:rPr>
          <w:rFonts w:cs="Times New Roman"/>
          <w:sz w:val="24"/>
          <w:szCs w:val="24"/>
        </w:rPr>
        <w:t xml:space="preserve">. </w:t>
      </w:r>
      <w:r w:rsidR="006A7AB9">
        <w:rPr>
          <w:rFonts w:cs="Times New Roman"/>
          <w:sz w:val="24"/>
          <w:szCs w:val="24"/>
        </w:rPr>
        <w:t>godine.</w:t>
      </w:r>
    </w:p>
    <w:p w14:paraId="28617A3C" w14:textId="77777777" w:rsidR="00257BCC" w:rsidRPr="00257BCC" w:rsidRDefault="00257BCC" w:rsidP="00257BCC">
      <w:pPr>
        <w:spacing w:line="240" w:lineRule="auto"/>
        <w:jc w:val="both"/>
        <w:rPr>
          <w:rFonts w:cs="Times New Roman"/>
          <w:sz w:val="24"/>
          <w:szCs w:val="24"/>
        </w:rPr>
      </w:pPr>
    </w:p>
    <w:tbl>
      <w:tblPr>
        <w:tblStyle w:val="TableGrid"/>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tblGrid>
      <w:tr w:rsidR="00257BCC" w:rsidRPr="00257BCC" w14:paraId="615FA679" w14:textId="77777777" w:rsidTr="00075B9B">
        <w:tc>
          <w:tcPr>
            <w:tcW w:w="5636" w:type="dxa"/>
          </w:tcPr>
          <w:p w14:paraId="3E9B2823" w14:textId="77777777" w:rsidR="00257BCC" w:rsidRPr="00257BCC" w:rsidRDefault="00257BCC" w:rsidP="00257BCC">
            <w:pPr>
              <w:contextualSpacing/>
              <w:jc w:val="center"/>
              <w:rPr>
                <w:rFonts w:cs="Times New Roman"/>
                <w:sz w:val="24"/>
                <w:szCs w:val="24"/>
              </w:rPr>
            </w:pPr>
            <w:r w:rsidRPr="00257BCC">
              <w:rPr>
                <w:rFonts w:cs="Times New Roman"/>
                <w:sz w:val="24"/>
                <w:szCs w:val="24"/>
              </w:rPr>
              <w:t xml:space="preserve">ZA PONUDITELJA </w:t>
            </w:r>
          </w:p>
        </w:tc>
      </w:tr>
      <w:tr w:rsidR="00257BCC" w:rsidRPr="00257BCC" w14:paraId="74110E64" w14:textId="77777777" w:rsidTr="00075B9B">
        <w:tc>
          <w:tcPr>
            <w:tcW w:w="5636" w:type="dxa"/>
          </w:tcPr>
          <w:p w14:paraId="2D824F0B" w14:textId="77777777" w:rsidR="00257BCC" w:rsidRPr="00257BCC" w:rsidRDefault="00257BCC" w:rsidP="00257BCC">
            <w:pPr>
              <w:contextualSpacing/>
              <w:jc w:val="center"/>
              <w:rPr>
                <w:rFonts w:cs="Times New Roman"/>
                <w:sz w:val="24"/>
                <w:szCs w:val="24"/>
              </w:rPr>
            </w:pPr>
          </w:p>
          <w:p w14:paraId="7B1F1FBA" w14:textId="7E0DB40A" w:rsidR="00257BCC" w:rsidRPr="00257BCC" w:rsidRDefault="00257BCC" w:rsidP="00257BCC">
            <w:pPr>
              <w:contextualSpacing/>
              <w:jc w:val="center"/>
              <w:rPr>
                <w:rFonts w:cs="Times New Roman"/>
                <w:sz w:val="24"/>
                <w:szCs w:val="24"/>
              </w:rPr>
            </w:pPr>
            <w:r w:rsidRPr="00257BCC">
              <w:rPr>
                <w:rFonts w:cs="Times New Roman"/>
                <w:sz w:val="24"/>
                <w:szCs w:val="24"/>
              </w:rPr>
              <w:t>___________________________________________</w:t>
            </w:r>
          </w:p>
        </w:tc>
      </w:tr>
      <w:tr w:rsidR="00257BCC" w:rsidRPr="00257BCC" w14:paraId="42E16605" w14:textId="77777777" w:rsidTr="00075B9B">
        <w:tc>
          <w:tcPr>
            <w:tcW w:w="5636" w:type="dxa"/>
          </w:tcPr>
          <w:p w14:paraId="3420B5B9" w14:textId="77777777" w:rsidR="00257BCC" w:rsidRDefault="00257BCC" w:rsidP="00257BCC">
            <w:pPr>
              <w:contextualSpacing/>
              <w:jc w:val="center"/>
              <w:rPr>
                <w:rFonts w:cs="Times New Roman"/>
                <w:sz w:val="24"/>
                <w:szCs w:val="24"/>
              </w:rPr>
            </w:pPr>
            <w:r w:rsidRPr="00257BCC">
              <w:rPr>
                <w:rFonts w:cs="Times New Roman"/>
                <w:sz w:val="24"/>
                <w:szCs w:val="24"/>
              </w:rPr>
              <w:t>(ime</w:t>
            </w:r>
            <w:r w:rsidR="006A7AB9">
              <w:rPr>
                <w:rFonts w:cs="Times New Roman"/>
                <w:sz w:val="24"/>
                <w:szCs w:val="24"/>
              </w:rPr>
              <w:t xml:space="preserve"> i </w:t>
            </w:r>
            <w:r w:rsidRPr="00257BCC">
              <w:rPr>
                <w:rFonts w:cs="Times New Roman"/>
                <w:sz w:val="24"/>
                <w:szCs w:val="24"/>
              </w:rPr>
              <w:t>prezime</w:t>
            </w:r>
            <w:r w:rsidR="006A7AB9">
              <w:rPr>
                <w:rFonts w:cs="Times New Roman"/>
                <w:sz w:val="24"/>
                <w:szCs w:val="24"/>
              </w:rPr>
              <w:t xml:space="preserve">, </w:t>
            </w:r>
            <w:r w:rsidRPr="00257BCC">
              <w:rPr>
                <w:rFonts w:cs="Times New Roman"/>
                <w:sz w:val="24"/>
                <w:szCs w:val="24"/>
              </w:rPr>
              <w:t>potpis ovlaštene osobe</w:t>
            </w:r>
            <w:r w:rsidR="006A7AB9">
              <w:rPr>
                <w:rFonts w:cs="Times New Roman"/>
                <w:sz w:val="24"/>
                <w:szCs w:val="24"/>
              </w:rPr>
              <w:t>)</w:t>
            </w:r>
          </w:p>
          <w:p w14:paraId="1C210B37" w14:textId="77777777" w:rsidR="006A7AB9" w:rsidRDefault="006A7AB9" w:rsidP="00257BCC">
            <w:pPr>
              <w:contextualSpacing/>
              <w:jc w:val="center"/>
              <w:rPr>
                <w:rFonts w:cs="Times New Roman"/>
                <w:sz w:val="24"/>
                <w:szCs w:val="24"/>
              </w:rPr>
            </w:pPr>
          </w:p>
          <w:p w14:paraId="4D61FADA" w14:textId="0895D101" w:rsidR="006A7AB9" w:rsidRPr="00257BCC" w:rsidRDefault="006A7AB9" w:rsidP="00257BCC">
            <w:pPr>
              <w:contextualSpacing/>
              <w:jc w:val="center"/>
              <w:rPr>
                <w:rFonts w:cs="Times New Roman"/>
                <w:sz w:val="24"/>
                <w:szCs w:val="24"/>
              </w:rPr>
            </w:pPr>
            <w:r>
              <w:rPr>
                <w:rFonts w:cs="Times New Roman"/>
                <w:sz w:val="24"/>
                <w:szCs w:val="24"/>
              </w:rPr>
              <w:t>M.P.</w:t>
            </w:r>
          </w:p>
        </w:tc>
      </w:tr>
      <w:bookmarkEnd w:id="0"/>
    </w:tbl>
    <w:p w14:paraId="5C13AC13" w14:textId="77777777" w:rsidR="00257BCC" w:rsidRPr="00257BCC" w:rsidRDefault="00257BCC" w:rsidP="00257BCC">
      <w:pPr>
        <w:spacing w:line="240" w:lineRule="auto"/>
        <w:rPr>
          <w:sz w:val="24"/>
          <w:szCs w:val="24"/>
        </w:rPr>
      </w:pPr>
    </w:p>
    <w:sectPr w:rsidR="00257BCC" w:rsidRPr="00257BCC" w:rsidSect="00567D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4C9C9" w14:textId="77777777" w:rsidR="0021060E" w:rsidRDefault="0021060E" w:rsidP="00FC67FC">
      <w:pPr>
        <w:spacing w:after="0" w:line="240" w:lineRule="auto"/>
      </w:pPr>
      <w:r>
        <w:separator/>
      </w:r>
    </w:p>
  </w:endnote>
  <w:endnote w:type="continuationSeparator" w:id="0">
    <w:p w14:paraId="0D9715FA" w14:textId="77777777" w:rsidR="0021060E" w:rsidRDefault="0021060E" w:rsidP="00FC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20B0604020202020204"/>
    <w:charset w:val="00"/>
    <w:family w:val="roman"/>
    <w:notTrueType/>
    <w:pitch w:val="default"/>
  </w:font>
  <w:font w:name="Symbol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66FE" w14:textId="77777777" w:rsidR="0021060E" w:rsidRDefault="0021060E" w:rsidP="00FC67FC">
      <w:pPr>
        <w:spacing w:after="0" w:line="240" w:lineRule="auto"/>
      </w:pPr>
      <w:r>
        <w:separator/>
      </w:r>
    </w:p>
  </w:footnote>
  <w:footnote w:type="continuationSeparator" w:id="0">
    <w:p w14:paraId="4FF95716" w14:textId="77777777" w:rsidR="0021060E" w:rsidRDefault="0021060E" w:rsidP="00FC6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9434996"/>
    <w:multiLevelType w:val="hybridMultilevel"/>
    <w:tmpl w:val="7F7086E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864FAE"/>
    <w:multiLevelType w:val="hybridMultilevel"/>
    <w:tmpl w:val="F606E93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926A18"/>
    <w:multiLevelType w:val="hybridMultilevel"/>
    <w:tmpl w:val="F026AA0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E84806"/>
    <w:multiLevelType w:val="hybridMultilevel"/>
    <w:tmpl w:val="BC662254"/>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83A5924"/>
    <w:multiLevelType w:val="hybridMultilevel"/>
    <w:tmpl w:val="020AAF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5E5961"/>
    <w:multiLevelType w:val="hybridMultilevel"/>
    <w:tmpl w:val="53D0C8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1E171B"/>
    <w:multiLevelType w:val="hybridMultilevel"/>
    <w:tmpl w:val="35488FC8"/>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59A30CEB"/>
    <w:multiLevelType w:val="hybridMultilevel"/>
    <w:tmpl w:val="6748A1D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3340F0F"/>
    <w:multiLevelType w:val="hybridMultilevel"/>
    <w:tmpl w:val="E9CCC8E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5FE5152"/>
    <w:multiLevelType w:val="hybridMultilevel"/>
    <w:tmpl w:val="0C96459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5E7752"/>
    <w:multiLevelType w:val="hybridMultilevel"/>
    <w:tmpl w:val="C158EC2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10"/>
  </w:num>
  <w:num w:numId="8">
    <w:abstractNumId w:val="3"/>
  </w:num>
  <w:num w:numId="9">
    <w:abstractNumId w:val="9"/>
  </w:num>
  <w:num w:numId="10">
    <w:abstractNumId w:val="7"/>
  </w:num>
  <w:num w:numId="11">
    <w:abstractNumId w:val="4"/>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CC"/>
    <w:rsid w:val="00053520"/>
    <w:rsid w:val="0021060E"/>
    <w:rsid w:val="00257BCC"/>
    <w:rsid w:val="003452B7"/>
    <w:rsid w:val="00362BF0"/>
    <w:rsid w:val="003B466E"/>
    <w:rsid w:val="004C188E"/>
    <w:rsid w:val="00567DA2"/>
    <w:rsid w:val="005837FD"/>
    <w:rsid w:val="006A7AB9"/>
    <w:rsid w:val="007C08EE"/>
    <w:rsid w:val="00946A1E"/>
    <w:rsid w:val="00A239B7"/>
    <w:rsid w:val="00B427EC"/>
    <w:rsid w:val="00BF5A2A"/>
    <w:rsid w:val="00C90693"/>
    <w:rsid w:val="00D2753E"/>
    <w:rsid w:val="00D46E9F"/>
    <w:rsid w:val="00E17154"/>
    <w:rsid w:val="00E53CE9"/>
    <w:rsid w:val="00FC67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3580"/>
  <w15:docId w15:val="{57294B05-5F4C-4C2F-A7DA-0AB98BCF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CC"/>
    <w:rPr>
      <w:rFonts w:ascii="Tahoma" w:hAnsi="Tahoma" w:cs="Tahoma"/>
      <w:sz w:val="16"/>
      <w:szCs w:val="16"/>
    </w:rPr>
  </w:style>
  <w:style w:type="table" w:styleId="TableGrid">
    <w:name w:val="Table Grid"/>
    <w:basedOn w:val="TableNormal"/>
    <w:uiPriority w:val="59"/>
    <w:rsid w:val="0025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BCC"/>
    <w:pPr>
      <w:spacing w:after="160" w:line="259" w:lineRule="auto"/>
      <w:ind w:left="720"/>
      <w:contextualSpacing/>
    </w:p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unhideWhenUsed/>
    <w:qFormat/>
    <w:rsid w:val="00FC67FC"/>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rsid w:val="00FC67FC"/>
    <w:rPr>
      <w:rFonts w:ascii="Calibri" w:eastAsia="Calibri" w:hAnsi="Calibri"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uiPriority w:val="99"/>
    <w:unhideWhenUsed/>
    <w:qFormat/>
    <w:rsid w:val="00FC67FC"/>
    <w:rPr>
      <w:vertAlign w:val="superscript"/>
    </w:rPr>
  </w:style>
  <w:style w:type="paragraph" w:styleId="Header">
    <w:name w:val="header"/>
    <w:basedOn w:val="Normal"/>
    <w:link w:val="HeaderChar"/>
    <w:uiPriority w:val="99"/>
    <w:unhideWhenUsed/>
    <w:rsid w:val="00D275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53E"/>
  </w:style>
  <w:style w:type="paragraph" w:styleId="Footer">
    <w:name w:val="footer"/>
    <w:basedOn w:val="Normal"/>
    <w:link w:val="FooterChar"/>
    <w:uiPriority w:val="99"/>
    <w:unhideWhenUsed/>
    <w:rsid w:val="00D275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53E"/>
  </w:style>
  <w:style w:type="character" w:customStyle="1" w:styleId="fontstyle21">
    <w:name w:val="fontstyle21"/>
    <w:basedOn w:val="DefaultParagraphFont"/>
    <w:rsid w:val="007C08EE"/>
    <w:rPr>
      <w:rFonts w:ascii="ArialMT" w:hAnsi="ArialMT" w:hint="default"/>
      <w:b w:val="0"/>
      <w:bCs w:val="0"/>
      <w:i w:val="0"/>
      <w:iCs w:val="0"/>
      <w:color w:val="000000"/>
      <w:sz w:val="20"/>
      <w:szCs w:val="20"/>
    </w:rPr>
  </w:style>
  <w:style w:type="character" w:customStyle="1" w:styleId="fontstyle41">
    <w:name w:val="fontstyle41"/>
    <w:basedOn w:val="DefaultParagraphFont"/>
    <w:rsid w:val="007C08EE"/>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963</Words>
  <Characters>6167</Characters>
  <Application>Microsoft Office Word</Application>
  <DocSecurity>0</DocSecurity>
  <Lines>162</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User</dc:creator>
  <cp:lastModifiedBy>Ana Pavicic Kaselj</cp:lastModifiedBy>
  <cp:revision>5</cp:revision>
  <dcterms:created xsi:type="dcterms:W3CDTF">2019-12-31T08:57:00Z</dcterms:created>
  <dcterms:modified xsi:type="dcterms:W3CDTF">2020-01-10T11:33:00Z</dcterms:modified>
</cp:coreProperties>
</file>