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7A8C" w14:textId="77777777" w:rsidR="00486BA0" w:rsidRPr="00AE2D32" w:rsidRDefault="00486BA0" w:rsidP="00AE2D32">
      <w:pPr>
        <w:spacing w:after="120"/>
        <w:jc w:val="both"/>
      </w:pPr>
    </w:p>
    <w:p w14:paraId="7ECE1456" w14:textId="77777777" w:rsidR="00486BA0" w:rsidRPr="00AE2D32" w:rsidRDefault="00486BA0" w:rsidP="00AE2D32">
      <w:pPr>
        <w:spacing w:after="120"/>
        <w:jc w:val="both"/>
      </w:pPr>
    </w:p>
    <w:p w14:paraId="42EF3262" w14:textId="77777777" w:rsidR="00486BA0" w:rsidRPr="00AE2D32" w:rsidRDefault="00D66FAF" w:rsidP="00AE2D32">
      <w:pPr>
        <w:pBdr>
          <w:bottom w:val="single" w:sz="12" w:space="1" w:color="auto"/>
        </w:pBdr>
        <w:spacing w:after="120"/>
        <w:jc w:val="both"/>
        <w:rPr>
          <w:bCs/>
        </w:rPr>
      </w:pPr>
      <w:r w:rsidRPr="00D66FAF">
        <w:rPr>
          <w:b/>
        </w:rPr>
        <w:t>Predmet:</w:t>
      </w:r>
      <w:r w:rsidRPr="00D66FAF">
        <w:t xml:space="preserve"> Pojašnjenje </w:t>
      </w:r>
      <w:r w:rsidR="00486BA0" w:rsidRPr="00AE2D32">
        <w:t xml:space="preserve">dokumentacije za nadmetanje - </w:t>
      </w:r>
      <w:r w:rsidR="00486BA0" w:rsidRPr="00AE2D32">
        <w:rPr>
          <w:bCs/>
        </w:rPr>
        <w:t xml:space="preserve">Nabava radova za izgradnju proizvodno - poslovne građevine poduzeća </w:t>
      </w:r>
      <w:proofErr w:type="spellStart"/>
      <w:r w:rsidR="00486BA0" w:rsidRPr="00AE2D32">
        <w:rPr>
          <w:bCs/>
        </w:rPr>
        <w:t>Milsing</w:t>
      </w:r>
      <w:proofErr w:type="spellEnd"/>
      <w:r w:rsidR="00486BA0" w:rsidRPr="00AE2D32">
        <w:rPr>
          <w:bCs/>
        </w:rPr>
        <w:t xml:space="preserve"> d.o.o., evidencijski broj 03/2019</w:t>
      </w:r>
    </w:p>
    <w:p w14:paraId="6D6CBF47" w14:textId="77777777" w:rsidR="00523232" w:rsidRPr="00AE2D32" w:rsidRDefault="00523232" w:rsidP="00AE2D32">
      <w:pPr>
        <w:spacing w:after="120"/>
        <w:jc w:val="both"/>
      </w:pPr>
    </w:p>
    <w:p w14:paraId="7FF2F349" w14:textId="77777777" w:rsidR="00A754FE" w:rsidRPr="00AE2D32" w:rsidRDefault="00AE2D32" w:rsidP="00AE2D32">
      <w:pPr>
        <w:spacing w:after="120"/>
        <w:jc w:val="both"/>
        <w:rPr>
          <w:b/>
        </w:rPr>
      </w:pPr>
      <w:r w:rsidRPr="00AE2D32">
        <w:rPr>
          <w:b/>
        </w:rPr>
        <w:t>UPIT 1: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640"/>
        <w:gridCol w:w="6940"/>
      </w:tblGrid>
      <w:tr w:rsidR="004C1A63" w:rsidRPr="00AE2D32" w14:paraId="082D1121" w14:textId="77777777" w:rsidTr="004C1A63">
        <w:trPr>
          <w:trHeight w:val="8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3853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I.1.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84EC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Vađenje postojećih betonskih rubnjaka i cementnog morta u koji su položeni, uključujući čišćenje deponiranje rubnjaka na pripremljenu površinu unutar gradilišta. Obračun po m'.</w:t>
            </w:r>
          </w:p>
        </w:tc>
      </w:tr>
    </w:tbl>
    <w:p w14:paraId="43F6C5BA" w14:textId="77777777" w:rsidR="00486BA0" w:rsidRPr="00AE2D32" w:rsidRDefault="00486BA0" w:rsidP="00AE2D32">
      <w:pPr>
        <w:pStyle w:val="ListParagraph"/>
        <w:spacing w:after="120"/>
        <w:ind w:left="0"/>
        <w:jc w:val="both"/>
      </w:pPr>
    </w:p>
    <w:p w14:paraId="6D0C46E3" w14:textId="77777777" w:rsidR="008F5082" w:rsidRPr="00AE2D32" w:rsidRDefault="004C1A63" w:rsidP="00AE2D32">
      <w:pPr>
        <w:pStyle w:val="ListParagraph"/>
        <w:spacing w:after="120"/>
        <w:ind w:left="0"/>
        <w:jc w:val="both"/>
        <w:rPr>
          <w:b/>
        </w:rPr>
      </w:pPr>
      <w:r w:rsidRPr="00AE2D32">
        <w:rPr>
          <w:b/>
        </w:rPr>
        <w:t>Molimo da se za navedenu stavku navedu dimenzija rubnjaka koji se vade, te molimo samo potvrdu da se rubnjaci deponiraju na gradilišnu deponiju.</w:t>
      </w:r>
    </w:p>
    <w:p w14:paraId="0B0855E6" w14:textId="77777777" w:rsidR="0023063F" w:rsidRPr="00AE2D32" w:rsidRDefault="0023063F" w:rsidP="00AE2D32">
      <w:pPr>
        <w:pStyle w:val="ListParagraph"/>
        <w:spacing w:after="120"/>
        <w:ind w:left="0"/>
        <w:jc w:val="both"/>
      </w:pPr>
    </w:p>
    <w:p w14:paraId="59D40D87" w14:textId="77777777" w:rsidR="00486BA0" w:rsidRPr="00AC6C88" w:rsidRDefault="00486BA0" w:rsidP="00A218B5">
      <w:pPr>
        <w:pStyle w:val="ListParagraph"/>
        <w:numPr>
          <w:ilvl w:val="0"/>
          <w:numId w:val="2"/>
        </w:numPr>
        <w:spacing w:after="120"/>
        <w:jc w:val="both"/>
      </w:pPr>
      <w:r w:rsidRPr="00AC6C88">
        <w:t xml:space="preserve">Odgovor naručitelja: </w:t>
      </w:r>
    </w:p>
    <w:p w14:paraId="3717DDFE" w14:textId="14C72BC0" w:rsidR="0023063F" w:rsidRPr="00AC6C88" w:rsidRDefault="0023063F" w:rsidP="00AE2D32">
      <w:pPr>
        <w:pStyle w:val="ListParagraph"/>
        <w:spacing w:after="120"/>
        <w:ind w:left="0"/>
        <w:jc w:val="both"/>
      </w:pPr>
      <w:r w:rsidRPr="00AC6C88">
        <w:t xml:space="preserve">Rubnjaci su cestovni, različitih dimenzija. Natjecateljima je omogućen uvid u gradilište svakim radnim danom </w:t>
      </w:r>
      <w:r w:rsidR="007A7841" w:rsidRPr="00AC6C88">
        <w:t>(</w:t>
      </w:r>
      <w:r w:rsidRPr="00AC6C88">
        <w:t>uz prethodnu najavu</w:t>
      </w:r>
      <w:r w:rsidR="007A7841" w:rsidRPr="00AC6C88">
        <w:t xml:space="preserve"> dan ranije)</w:t>
      </w:r>
      <w:r w:rsidRPr="00AC6C88">
        <w:t xml:space="preserve"> od 09h do 14h za vrijeme trajanja roka za dostavu ponuda</w:t>
      </w:r>
      <w:r w:rsidR="007A7841" w:rsidRPr="00AC6C88">
        <w:t>.</w:t>
      </w:r>
    </w:p>
    <w:p w14:paraId="37E6203E" w14:textId="64ABF752" w:rsidR="00533886" w:rsidRPr="00AC6C88" w:rsidRDefault="00E24E6C" w:rsidP="00AE2D32">
      <w:pPr>
        <w:pStyle w:val="ListParagraph"/>
        <w:spacing w:after="120"/>
        <w:ind w:left="0"/>
        <w:jc w:val="both"/>
      </w:pPr>
      <w:r w:rsidRPr="00AC6C88">
        <w:t>R</w:t>
      </w:r>
      <w:r w:rsidR="00533886" w:rsidRPr="00AC6C88">
        <w:t>ubnjaci se deponiraju na pripremljenu površinu unutar gradilišta.</w:t>
      </w:r>
    </w:p>
    <w:p w14:paraId="29AC2CF8" w14:textId="77777777" w:rsidR="00486BA0" w:rsidRPr="00AE2D32" w:rsidRDefault="00486BA0" w:rsidP="00AE2D32">
      <w:pPr>
        <w:spacing w:after="120"/>
        <w:jc w:val="both"/>
        <w:rPr>
          <w:b/>
        </w:rPr>
      </w:pPr>
    </w:p>
    <w:p w14:paraId="4D45FBD0" w14:textId="77777777" w:rsidR="00486BA0" w:rsidRPr="00AE2D32" w:rsidRDefault="00AE2D32" w:rsidP="00AE2D32">
      <w:pPr>
        <w:spacing w:after="120"/>
        <w:jc w:val="both"/>
        <w:rPr>
          <w:b/>
        </w:rPr>
      </w:pPr>
      <w:r w:rsidRPr="00AE2D32">
        <w:rPr>
          <w:b/>
        </w:rPr>
        <w:t>UPIT 2:</w:t>
      </w:r>
    </w:p>
    <w:tbl>
      <w:tblPr>
        <w:tblW w:w="9121" w:type="dxa"/>
        <w:tblInd w:w="93" w:type="dxa"/>
        <w:tblLook w:val="04A0" w:firstRow="1" w:lastRow="0" w:firstColumn="1" w:lastColumn="0" w:noHBand="0" w:noVBand="1"/>
      </w:tblPr>
      <w:tblGrid>
        <w:gridCol w:w="640"/>
        <w:gridCol w:w="8481"/>
      </w:tblGrid>
      <w:tr w:rsidR="004C1A63" w:rsidRPr="00AE2D32" w14:paraId="7915B81D" w14:textId="77777777" w:rsidTr="00AE2D32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2C9D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II.1.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328B" w14:textId="77777777" w:rsidR="004C1A63" w:rsidRPr="00523232" w:rsidRDefault="004C1A63" w:rsidP="00AE2D32">
            <w:pPr>
              <w:spacing w:after="120" w:line="240" w:lineRule="auto"/>
              <w:ind w:right="189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Betoniranje podložne zaglađene betonske ploče od ''mršavog'' betona</w:t>
            </w:r>
            <w:r w:rsidR="00AE2D32"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C10/15, debljine 10cm. Obračun po m³</w:t>
            </w:r>
          </w:p>
        </w:tc>
      </w:tr>
    </w:tbl>
    <w:p w14:paraId="51452486" w14:textId="77777777" w:rsidR="004C1A63" w:rsidRPr="00AE2D32" w:rsidRDefault="004C1A63" w:rsidP="00AE2D32">
      <w:pPr>
        <w:pStyle w:val="ListParagraph"/>
        <w:spacing w:after="120"/>
        <w:ind w:left="0"/>
        <w:jc w:val="both"/>
        <w:rPr>
          <w:b/>
        </w:rPr>
      </w:pPr>
      <w:r w:rsidRPr="00AE2D32">
        <w:rPr>
          <w:b/>
        </w:rPr>
        <w:t>Da li se u navedenoj stavci misli na beton C8/10 ili C12/10, vrsta betona C10/15 ne postoji.</w:t>
      </w:r>
    </w:p>
    <w:p w14:paraId="64970969" w14:textId="77777777" w:rsidR="0023063F" w:rsidRPr="00AE2D32" w:rsidRDefault="0023063F" w:rsidP="00AE2D32">
      <w:pPr>
        <w:pStyle w:val="ListParagraph"/>
        <w:spacing w:after="120"/>
        <w:ind w:left="0"/>
        <w:jc w:val="both"/>
      </w:pPr>
    </w:p>
    <w:p w14:paraId="1150EE18" w14:textId="77777777" w:rsidR="00486BA0" w:rsidRPr="00AC6C88" w:rsidRDefault="00486BA0" w:rsidP="00A218B5">
      <w:pPr>
        <w:pStyle w:val="ListParagraph"/>
        <w:numPr>
          <w:ilvl w:val="0"/>
          <w:numId w:val="2"/>
        </w:numPr>
        <w:spacing w:after="120"/>
        <w:jc w:val="both"/>
      </w:pPr>
      <w:r w:rsidRPr="00AC6C88">
        <w:t xml:space="preserve">Odgovor naručitelja: </w:t>
      </w:r>
    </w:p>
    <w:p w14:paraId="68CAC63D" w14:textId="353ECF15" w:rsidR="0023063F" w:rsidRPr="00AC6C88" w:rsidRDefault="00B80693" w:rsidP="00AE2D32">
      <w:pPr>
        <w:pStyle w:val="ListParagraph"/>
        <w:spacing w:after="120"/>
        <w:ind w:left="0"/>
        <w:jc w:val="both"/>
      </w:pPr>
      <w:r w:rsidRPr="00AC6C88">
        <w:t xml:space="preserve">U stavci je navedeno da najmanja karakteristična tlačna čvrstoća valjka 150x150mm </w:t>
      </w:r>
      <w:proofErr w:type="spellStart"/>
      <w:r w:rsidRPr="00AC6C88">
        <w:t>upotrebljenog</w:t>
      </w:r>
      <w:proofErr w:type="spellEnd"/>
      <w:r w:rsidRPr="00AC6C88">
        <w:t xml:space="preserve"> betona (</w:t>
      </w:r>
      <w:proofErr w:type="spellStart"/>
      <w:r w:rsidRPr="00AC6C88">
        <w:t>fck.cyl</w:t>
      </w:r>
      <w:proofErr w:type="spellEnd"/>
      <w:r w:rsidRPr="00AC6C88">
        <w:t xml:space="preserve">) ne smije biti ispod 10 N/mm2, a najmanja karakteristična tlačna čvrstoća kocke 150x150mm </w:t>
      </w:r>
      <w:proofErr w:type="spellStart"/>
      <w:r w:rsidRPr="00AC6C88">
        <w:t>upotrebljenog</w:t>
      </w:r>
      <w:proofErr w:type="spellEnd"/>
      <w:r w:rsidRPr="00AC6C88">
        <w:t xml:space="preserve"> betona (</w:t>
      </w:r>
      <w:proofErr w:type="spellStart"/>
      <w:r w:rsidRPr="00AC6C88">
        <w:t>fck.cube</w:t>
      </w:r>
      <w:proofErr w:type="spellEnd"/>
      <w:r w:rsidRPr="00AC6C88">
        <w:t>) 15 N/mm2, sukladno EN 206:1.</w:t>
      </w:r>
    </w:p>
    <w:p w14:paraId="459B3192" w14:textId="524D409F" w:rsidR="00B80693" w:rsidRPr="00AC6C88" w:rsidRDefault="00B80693" w:rsidP="00AE2D32">
      <w:pPr>
        <w:pStyle w:val="ListParagraph"/>
        <w:spacing w:after="120"/>
        <w:ind w:left="0"/>
        <w:jc w:val="both"/>
      </w:pPr>
      <w:r w:rsidRPr="00AC6C88">
        <w:t xml:space="preserve">Iz gornjeg možemo zaključiti da beton C12/15 </w:t>
      </w:r>
      <w:r w:rsidR="00F9172F" w:rsidRPr="00AC6C88">
        <w:t>zadovoljava</w:t>
      </w:r>
      <w:r w:rsidRPr="00AC6C88">
        <w:t xml:space="preserve"> traženi uvjet, dok beton C8/10 ne zadovoljava.</w:t>
      </w:r>
    </w:p>
    <w:p w14:paraId="462402DA" w14:textId="77777777" w:rsidR="004C1A63" w:rsidRPr="00AE2D32" w:rsidRDefault="004C1A63" w:rsidP="00AE2D32">
      <w:pPr>
        <w:pStyle w:val="ListParagraph"/>
        <w:spacing w:after="120"/>
        <w:ind w:left="0"/>
        <w:jc w:val="both"/>
      </w:pPr>
    </w:p>
    <w:p w14:paraId="6E8E463A" w14:textId="77777777" w:rsidR="00486BA0" w:rsidRPr="00AE2D32" w:rsidRDefault="00AE2D32" w:rsidP="00AE2D32">
      <w:pPr>
        <w:spacing w:after="120"/>
        <w:jc w:val="both"/>
        <w:rPr>
          <w:b/>
        </w:rPr>
      </w:pPr>
      <w:r w:rsidRPr="00AE2D32">
        <w:rPr>
          <w:b/>
        </w:rPr>
        <w:t>UPIT 3:</w:t>
      </w:r>
    </w:p>
    <w:tbl>
      <w:tblPr>
        <w:tblW w:w="7814" w:type="dxa"/>
        <w:tblInd w:w="93" w:type="dxa"/>
        <w:tblLook w:val="04A0" w:firstRow="1" w:lastRow="0" w:firstColumn="1" w:lastColumn="0" w:noHBand="0" w:noVBand="1"/>
      </w:tblPr>
      <w:tblGrid>
        <w:gridCol w:w="767"/>
        <w:gridCol w:w="7047"/>
      </w:tblGrid>
      <w:tr w:rsidR="004C1A63" w:rsidRPr="00AE2D32" w14:paraId="3D4251FC" w14:textId="77777777" w:rsidTr="00486BA0">
        <w:trPr>
          <w:trHeight w:val="12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0186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III.16.</w:t>
            </w:r>
          </w:p>
        </w:tc>
        <w:tc>
          <w:tcPr>
            <w:tcW w:w="7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6598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Betoniranje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arm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bet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zidova I. kata, betonom C 25/30 u potrebnoj dvostranoj glatkoj oplati. Debljina zidova 20m. Sva potrebna rubna oplata je uključena u cijenu. Obračun po m³.</w:t>
            </w:r>
          </w:p>
        </w:tc>
      </w:tr>
    </w:tbl>
    <w:p w14:paraId="344FFB40" w14:textId="77777777" w:rsidR="004C1A63" w:rsidRPr="00AE2D32" w:rsidRDefault="004C1A63" w:rsidP="00AE2D32">
      <w:pPr>
        <w:pStyle w:val="ListParagraph"/>
        <w:spacing w:after="120"/>
        <w:ind w:left="0"/>
        <w:jc w:val="both"/>
        <w:rPr>
          <w:b/>
        </w:rPr>
      </w:pPr>
      <w:r w:rsidRPr="00AE2D32">
        <w:rPr>
          <w:b/>
        </w:rPr>
        <w:t>Molimo pojašnjenje stavke pod što se misli da je potrebna rubna oplata u cijeni? Zašto bi za zidove bila potrebna rubna oplata kada se stavlja kompletna dvostrana glatka oplata u potrebnoj količini?</w:t>
      </w:r>
    </w:p>
    <w:p w14:paraId="7B66A3C2" w14:textId="77777777" w:rsidR="0023063F" w:rsidRPr="00AE2D32" w:rsidRDefault="0023063F" w:rsidP="00AE2D32">
      <w:pPr>
        <w:pStyle w:val="ListParagraph"/>
        <w:spacing w:after="120"/>
        <w:ind w:left="0"/>
        <w:jc w:val="both"/>
      </w:pPr>
    </w:p>
    <w:p w14:paraId="2BA53DB1" w14:textId="77777777" w:rsidR="00AE2D32" w:rsidRPr="00AC6C88" w:rsidRDefault="00AE2D32" w:rsidP="00A218B5">
      <w:pPr>
        <w:pStyle w:val="ListParagraph"/>
        <w:numPr>
          <w:ilvl w:val="0"/>
          <w:numId w:val="2"/>
        </w:numPr>
      </w:pPr>
      <w:bookmarkStart w:id="0" w:name="_Hlk9868157"/>
      <w:r w:rsidRPr="00AC6C88">
        <w:t xml:space="preserve">Odgovor naručitelja: </w:t>
      </w:r>
    </w:p>
    <w:bookmarkEnd w:id="0"/>
    <w:p w14:paraId="7D3C7EA5" w14:textId="39C9B01A" w:rsidR="0023063F" w:rsidRPr="00AC6C88" w:rsidRDefault="0023063F" w:rsidP="00AE2D32">
      <w:pPr>
        <w:pStyle w:val="ListParagraph"/>
        <w:spacing w:after="120"/>
        <w:ind w:left="0"/>
        <w:jc w:val="both"/>
      </w:pPr>
      <w:r w:rsidRPr="00AC6C88">
        <w:lastRenderedPageBreak/>
        <w:t>Rubna oplata se koristi na krajevima zidova i na mjestima uz rubove otvora.</w:t>
      </w:r>
    </w:p>
    <w:p w14:paraId="0975A134" w14:textId="23B52E38" w:rsidR="00B80693" w:rsidRPr="00AC6C88" w:rsidRDefault="00B80693" w:rsidP="00AE2D32">
      <w:pPr>
        <w:pStyle w:val="ListParagraph"/>
        <w:spacing w:after="120"/>
        <w:ind w:left="0"/>
        <w:jc w:val="both"/>
      </w:pPr>
      <w:r w:rsidRPr="00AC6C88">
        <w:t>U priloženom planu oplate možete vidjeti detalje.</w:t>
      </w:r>
    </w:p>
    <w:p w14:paraId="3F068647" w14:textId="785A2AA8" w:rsidR="00A218B5" w:rsidRPr="00AC6C88" w:rsidRDefault="00A218B5" w:rsidP="00AE2D32">
      <w:pPr>
        <w:pStyle w:val="ListParagraph"/>
        <w:spacing w:after="120"/>
        <w:ind w:left="0"/>
        <w:jc w:val="both"/>
      </w:pPr>
    </w:p>
    <w:p w14:paraId="36235935" w14:textId="77777777" w:rsidR="00A218B5" w:rsidRPr="00AE2D32" w:rsidRDefault="00A218B5" w:rsidP="00AE2D32">
      <w:pPr>
        <w:pStyle w:val="ListParagraph"/>
        <w:spacing w:after="120"/>
        <w:ind w:left="0"/>
        <w:jc w:val="both"/>
        <w:rPr>
          <w:color w:val="FF0000"/>
        </w:rPr>
      </w:pPr>
    </w:p>
    <w:p w14:paraId="14D38DDC" w14:textId="77777777" w:rsidR="00486BA0" w:rsidRPr="00AE2D32" w:rsidRDefault="00AE2D32" w:rsidP="00AE2D32">
      <w:pPr>
        <w:spacing w:after="120"/>
        <w:jc w:val="both"/>
        <w:rPr>
          <w:b/>
        </w:rPr>
      </w:pPr>
      <w:r w:rsidRPr="00AE2D32">
        <w:rPr>
          <w:b/>
        </w:rPr>
        <w:t>UPIT 4: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717"/>
        <w:gridCol w:w="4926"/>
        <w:gridCol w:w="739"/>
        <w:gridCol w:w="1182"/>
        <w:gridCol w:w="222"/>
      </w:tblGrid>
      <w:tr w:rsidR="004C1A63" w:rsidRPr="00AE2D32" w14:paraId="0D04CD37" w14:textId="77777777" w:rsidTr="004C1A63">
        <w:trPr>
          <w:trHeight w:val="7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E599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III.23.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ECA7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Betoniranje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arm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bet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. stupova betonom C 25/30 u potrebnoj glatkoj oplati. Sva potrebna rubna oplata je uključena u cijenu. Obračun po m³.</w:t>
            </w:r>
          </w:p>
        </w:tc>
      </w:tr>
      <w:tr w:rsidR="004C1A63" w:rsidRPr="00AE2D32" w14:paraId="63101851" w14:textId="77777777" w:rsidTr="004C1A6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64EA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25BF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dimenzije 40x40cm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E7D5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m³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88E1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30,0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09EA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4C1A63" w:rsidRPr="00AE2D32" w14:paraId="52E363E1" w14:textId="77777777" w:rsidTr="004C1A6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D21C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196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dimenzije 20x20cm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533E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m³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3DE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0,2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651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</w:tbl>
    <w:p w14:paraId="787BA280" w14:textId="77777777" w:rsidR="004C1A63" w:rsidRPr="00AE2D32" w:rsidRDefault="004C1A63" w:rsidP="00AE2D32">
      <w:pPr>
        <w:pStyle w:val="ListParagraph"/>
        <w:spacing w:after="120"/>
        <w:ind w:left="0"/>
        <w:jc w:val="both"/>
      </w:pPr>
      <w:r w:rsidRPr="00AE2D32">
        <w:t xml:space="preserve"> </w:t>
      </w:r>
    </w:p>
    <w:p w14:paraId="3A15FAB1" w14:textId="77777777" w:rsidR="00A754FE" w:rsidRPr="00AE2D32" w:rsidRDefault="004C1A63" w:rsidP="00AE2D32">
      <w:pPr>
        <w:spacing w:after="120"/>
        <w:jc w:val="both"/>
        <w:rPr>
          <w:b/>
        </w:rPr>
      </w:pPr>
      <w:r w:rsidRPr="00AE2D32">
        <w:rPr>
          <w:b/>
        </w:rPr>
        <w:t>Molimo pojašnjenje stavke pod što se misli da je potrebna rubna oplata u cijeni? Zašto bi za stupove bila potrebna rubna oplata kada se stavlja kompletna oplata za stupove prema navedenim dimenzijama u potrebnoj količini?</w:t>
      </w:r>
    </w:p>
    <w:p w14:paraId="3E971555" w14:textId="77777777" w:rsidR="00A218B5" w:rsidRPr="00AC6C88" w:rsidRDefault="00A218B5" w:rsidP="00FB4244">
      <w:pPr>
        <w:numPr>
          <w:ilvl w:val="0"/>
          <w:numId w:val="2"/>
        </w:numPr>
        <w:spacing w:after="120"/>
        <w:jc w:val="both"/>
      </w:pPr>
      <w:r w:rsidRPr="00AC6C88">
        <w:t>Odgovor naručitelja:</w:t>
      </w:r>
    </w:p>
    <w:p w14:paraId="63057159" w14:textId="5BAECB5C" w:rsidR="00AE2D32" w:rsidRPr="00AC6C88" w:rsidRDefault="0023063F" w:rsidP="00AE2D32">
      <w:pPr>
        <w:spacing w:after="120"/>
        <w:jc w:val="both"/>
      </w:pPr>
      <w:r w:rsidRPr="00AC6C88">
        <w:t>U opisu stavke je naglašeno da je sva potrebna oplata u cijeni stavke.</w:t>
      </w:r>
      <w:r w:rsidR="00045E3C" w:rsidRPr="00AC6C88">
        <w:t xml:space="preserve"> </w:t>
      </w:r>
      <w:r w:rsidR="00B80693" w:rsidRPr="00AC6C88">
        <w:t xml:space="preserve">U priloženom planu oplate možete vidjeti detalje. </w:t>
      </w:r>
    </w:p>
    <w:p w14:paraId="650F9624" w14:textId="77777777" w:rsidR="00045E3C" w:rsidRDefault="00045E3C" w:rsidP="00AE2D32">
      <w:pPr>
        <w:spacing w:after="120"/>
        <w:jc w:val="both"/>
        <w:rPr>
          <w:b/>
        </w:rPr>
      </w:pPr>
    </w:p>
    <w:p w14:paraId="62DA4363" w14:textId="5BBC622F" w:rsidR="004C1A63" w:rsidRPr="00AE2D32" w:rsidRDefault="00AE2D32" w:rsidP="00AE2D32">
      <w:pPr>
        <w:spacing w:after="120"/>
        <w:jc w:val="both"/>
        <w:rPr>
          <w:b/>
        </w:rPr>
      </w:pPr>
      <w:r w:rsidRPr="00AE2D32">
        <w:rPr>
          <w:b/>
        </w:rPr>
        <w:t>UPIT 5:</w:t>
      </w:r>
    </w:p>
    <w:tbl>
      <w:tblPr>
        <w:tblW w:w="8447" w:type="dxa"/>
        <w:tblInd w:w="93" w:type="dxa"/>
        <w:tblLook w:val="04A0" w:firstRow="1" w:lastRow="0" w:firstColumn="1" w:lastColumn="0" w:noHBand="0" w:noVBand="1"/>
      </w:tblPr>
      <w:tblGrid>
        <w:gridCol w:w="767"/>
        <w:gridCol w:w="4551"/>
        <w:gridCol w:w="800"/>
        <w:gridCol w:w="1233"/>
        <w:gridCol w:w="1096"/>
      </w:tblGrid>
      <w:tr w:rsidR="004C1A63" w:rsidRPr="00AE2D32" w14:paraId="24C2C740" w14:textId="77777777" w:rsidTr="00AE2D32">
        <w:trPr>
          <w:trHeight w:val="154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27EB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III.28.</w:t>
            </w: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6558" w14:textId="77777777" w:rsidR="00AE2D32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Zidanje i betoniranje AB zida prema dilataciji u osi D sustavom za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polumontažnu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izvedbu blokovima bez ugrađene toplinske izolacije ukupne debljine 30cm. Stavka uključuje sve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fazonske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elemente. Sve izvesti prema statičkom proračunu i izvedbenom projektu konstrukcije.</w:t>
            </w:r>
          </w:p>
          <w:p w14:paraId="513CCE4A" w14:textId="77777777" w:rsidR="004C1A63" w:rsidRPr="005232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Obračun po m³.</w:t>
            </w:r>
          </w:p>
        </w:tc>
      </w:tr>
      <w:tr w:rsidR="004C1A63" w:rsidRPr="00AE2D32" w14:paraId="0BFD0166" w14:textId="77777777" w:rsidTr="00AE2D32">
        <w:trPr>
          <w:trHeight w:val="34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97F9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0E5C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CD6A2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2DE51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9E9E" w14:textId="77777777" w:rsidR="004C1A63" w:rsidRPr="00AE2D32" w:rsidRDefault="004C1A63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</w:tbl>
    <w:p w14:paraId="042B4C0C" w14:textId="77777777" w:rsidR="004C1A63" w:rsidRPr="00AE2D32" w:rsidRDefault="004C1A63" w:rsidP="00AE2D32">
      <w:pPr>
        <w:spacing w:after="120"/>
        <w:jc w:val="both"/>
        <w:rPr>
          <w:b/>
        </w:rPr>
      </w:pPr>
      <w:r w:rsidRPr="00AE2D32">
        <w:rPr>
          <w:b/>
        </w:rPr>
        <w:t xml:space="preserve">Molimo da se </w:t>
      </w:r>
      <w:r w:rsidR="00E93958" w:rsidRPr="00AE2D32">
        <w:rPr>
          <w:b/>
        </w:rPr>
        <w:t xml:space="preserve">definira da li se kompletan sustav stavke betonira ili se zida </w:t>
      </w:r>
      <w:proofErr w:type="spellStart"/>
      <w:r w:rsidR="00E93958" w:rsidRPr="00AE2D32">
        <w:rPr>
          <w:b/>
        </w:rPr>
        <w:t>polumontažnim</w:t>
      </w:r>
      <w:proofErr w:type="spellEnd"/>
      <w:r w:rsidR="00E93958" w:rsidRPr="00AE2D32">
        <w:rPr>
          <w:b/>
        </w:rPr>
        <w:t xml:space="preserve"> sustavom te bih molio samo pojašnjenje da li je sustav betonski tj. </w:t>
      </w:r>
      <w:proofErr w:type="spellStart"/>
      <w:r w:rsidR="00E93958" w:rsidRPr="00AE2D32">
        <w:rPr>
          <w:b/>
        </w:rPr>
        <w:t>prefabricirani</w:t>
      </w:r>
      <w:proofErr w:type="spellEnd"/>
      <w:r w:rsidR="00E93958" w:rsidRPr="00AE2D32">
        <w:rPr>
          <w:b/>
        </w:rPr>
        <w:t xml:space="preserve"> betonski elementi ili mora biti neki drugi </w:t>
      </w:r>
      <w:proofErr w:type="spellStart"/>
      <w:r w:rsidR="00E93958" w:rsidRPr="00AE2D32">
        <w:rPr>
          <w:b/>
        </w:rPr>
        <w:t>polumontažni</w:t>
      </w:r>
      <w:proofErr w:type="spellEnd"/>
      <w:r w:rsidR="00E93958" w:rsidRPr="00AE2D32">
        <w:rPr>
          <w:b/>
        </w:rPr>
        <w:t xml:space="preserve"> sustav?</w:t>
      </w:r>
    </w:p>
    <w:p w14:paraId="0C111F5C" w14:textId="77777777" w:rsidR="00523232" w:rsidRDefault="00523232" w:rsidP="00AE2D32">
      <w:pPr>
        <w:spacing w:after="120" w:line="240" w:lineRule="auto"/>
        <w:jc w:val="both"/>
        <w:rPr>
          <w:color w:val="FF0000"/>
        </w:rPr>
      </w:pPr>
    </w:p>
    <w:p w14:paraId="07ECCC57" w14:textId="77777777" w:rsidR="00AE2D32" w:rsidRPr="00AC6C88" w:rsidRDefault="00AE2D32" w:rsidP="00A218B5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AC6C88">
        <w:t>Odgovor naručitelja:</w:t>
      </w:r>
    </w:p>
    <w:p w14:paraId="2267D6C3" w14:textId="77777777" w:rsidR="0023063F" w:rsidRPr="00AC6C88" w:rsidRDefault="0023063F" w:rsidP="00AE2D32">
      <w:pPr>
        <w:spacing w:after="120" w:line="240" w:lineRule="auto"/>
        <w:jc w:val="both"/>
      </w:pPr>
      <w:r w:rsidRPr="00AC6C88">
        <w:t xml:space="preserve">Naručitelj će prihvatiti svaki </w:t>
      </w:r>
      <w:proofErr w:type="spellStart"/>
      <w:r w:rsidRPr="00AC6C88">
        <w:t>polumontažni</w:t>
      </w:r>
      <w:proofErr w:type="spellEnd"/>
      <w:r w:rsidRPr="00AC6C88">
        <w:t xml:space="preserve"> sustav koji </w:t>
      </w:r>
      <w:r w:rsidR="007A7841" w:rsidRPr="00AC6C88">
        <w:t xml:space="preserve">ne zahtijeva dodatnu obradu, </w:t>
      </w:r>
      <w:r w:rsidRPr="00AC6C88">
        <w:t>udovoljava uvjetima iz statičkog proračuna</w:t>
      </w:r>
      <w:r w:rsidR="007A7841" w:rsidRPr="00AC6C88">
        <w:t xml:space="preserve">, </w:t>
      </w:r>
      <w:r w:rsidRPr="00AC6C88">
        <w:t>t</w:t>
      </w:r>
      <w:r w:rsidR="007A7841" w:rsidRPr="00AC6C88">
        <w:t>ra</w:t>
      </w:r>
      <w:r w:rsidRPr="00AC6C88">
        <w:t>žene je debljine</w:t>
      </w:r>
      <w:r w:rsidR="007A7841" w:rsidRPr="00AC6C88">
        <w:t xml:space="preserve"> i ne zahtijeva </w:t>
      </w:r>
      <w:r w:rsidR="00AB49D1" w:rsidRPr="00AC6C88">
        <w:t>nikakve intervencije na zidu postojeće građevine uz koju se izvodi.</w:t>
      </w:r>
    </w:p>
    <w:p w14:paraId="04A6B050" w14:textId="6ADA681B" w:rsidR="00E93958" w:rsidRDefault="00E93958" w:rsidP="00AE2D32">
      <w:pPr>
        <w:spacing w:after="120"/>
        <w:jc w:val="both"/>
      </w:pPr>
    </w:p>
    <w:p w14:paraId="57D8D62F" w14:textId="349DA503" w:rsidR="00A218B5" w:rsidRDefault="00A218B5" w:rsidP="00AE2D32">
      <w:pPr>
        <w:spacing w:after="120"/>
        <w:jc w:val="both"/>
      </w:pPr>
    </w:p>
    <w:p w14:paraId="1ED03910" w14:textId="3529CD8A" w:rsidR="00A218B5" w:rsidRDefault="00A218B5" w:rsidP="00AE2D32">
      <w:pPr>
        <w:spacing w:after="120"/>
        <w:jc w:val="both"/>
      </w:pPr>
    </w:p>
    <w:p w14:paraId="1FBEFFDA" w14:textId="7D6A0411" w:rsidR="00A218B5" w:rsidRDefault="00A218B5" w:rsidP="00AE2D32">
      <w:pPr>
        <w:spacing w:after="120"/>
        <w:jc w:val="both"/>
      </w:pPr>
    </w:p>
    <w:p w14:paraId="672AF104" w14:textId="756D1592" w:rsidR="00A218B5" w:rsidRDefault="00A218B5" w:rsidP="00AE2D32">
      <w:pPr>
        <w:spacing w:after="120"/>
        <w:jc w:val="both"/>
      </w:pPr>
    </w:p>
    <w:p w14:paraId="09C6ACC1" w14:textId="77777777" w:rsidR="00486BA0" w:rsidRDefault="00523232" w:rsidP="00AE2D32">
      <w:pPr>
        <w:spacing w:after="120"/>
        <w:jc w:val="both"/>
        <w:rPr>
          <w:b/>
        </w:rPr>
      </w:pPr>
      <w:r w:rsidRPr="00523232">
        <w:rPr>
          <w:b/>
        </w:rPr>
        <w:t>UPIT 6:</w:t>
      </w:r>
    </w:p>
    <w:tbl>
      <w:tblPr>
        <w:tblW w:w="8135" w:type="dxa"/>
        <w:tblInd w:w="93" w:type="dxa"/>
        <w:tblLook w:val="04A0" w:firstRow="1" w:lastRow="0" w:firstColumn="1" w:lastColumn="0" w:noHBand="0" w:noVBand="1"/>
      </w:tblPr>
      <w:tblGrid>
        <w:gridCol w:w="640"/>
        <w:gridCol w:w="4253"/>
        <w:gridCol w:w="803"/>
        <w:gridCol w:w="1340"/>
        <w:gridCol w:w="1099"/>
      </w:tblGrid>
      <w:tr w:rsidR="00E93958" w:rsidRPr="00AE2D32" w14:paraId="17CF3F59" w14:textId="77777777" w:rsidTr="00E93958">
        <w:trPr>
          <w:trHeight w:val="3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2ABA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V.1.</w:t>
            </w: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E767" w14:textId="77777777" w:rsidR="00523232" w:rsidRPr="00523232" w:rsidRDefault="00E93958" w:rsidP="005232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Izrada plivajućeg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rabiciranog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cementnog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 25/30, d=7cm mješavinom sitnog pijeska i cementa s vlaknima za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mikroarmiranje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armaturnom mrežom Q131 te finim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zaglađenjem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na isti se postavlja kamen kao završni sloj.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se polaže na ploče visoke tlačne čvrstoće i elastičnosti od mineralne vune debljine 3cm koje moraju imati sljedeće karakteristike: toplinska provodljivost 0,036 W/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mK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prema HRN EN 12667 i otpor strujanja zraka &gt;60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kPa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*s/m² prema HRN EN 29053, preko kojih se postavlja PE folija debljine 0,2mm s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ljepljenim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preklopima (sve u cijeni stavke). Stavka uključuje ulaganje trake od polistirena debljine 1cm u rešku između zida i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te izvedbu dilatacija svakih 6m². Obračun se vrši po m² kompletne izvedbe (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mineralna vuna, PE folija i armatura za glazuru).</w:t>
            </w:r>
          </w:p>
        </w:tc>
      </w:tr>
      <w:tr w:rsidR="00E93958" w:rsidRPr="00AE2D32" w14:paraId="3FCDD98D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683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C8684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Mineralna vuna - nudimo proizvod: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12EE6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0932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7C43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E93958" w:rsidRPr="00AE2D32" w14:paraId="32BA3F44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CD70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2C02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_____________________________________________________________</w:t>
            </w:r>
          </w:p>
        </w:tc>
      </w:tr>
      <w:tr w:rsidR="00E93958" w:rsidRPr="00AE2D32" w14:paraId="12433961" w14:textId="77777777" w:rsidTr="00E939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9D4F8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997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01DF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4D0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926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E93958" w:rsidRPr="00AE2D32" w14:paraId="760D110D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F829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0007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0329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DAF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7FB6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E93958" w:rsidRPr="00AE2D32" w14:paraId="18254B6C" w14:textId="77777777" w:rsidTr="00E93958">
        <w:trPr>
          <w:trHeight w:val="3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18CE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V.2.</w:t>
            </w: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850F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Izrada plivajućeg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rabiciranog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cementnog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 25/30, d=7cm mješavinom sitnog pijeska i cementa s vlaknima za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mikroarmiranje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armaturnom mrežom Q131 te finim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zaglađenjem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na isti se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postavlju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keramičke pločice i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tepison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kao završni sloj.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se polaže na ploče visoke tlačne čvrstoće i elastičnosti od mineralne vune debljine 2x2cm koje moraju imati sljedeće karakteristike: toplinska provodljivost 0,036 W/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mK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prema HRN EN 12667 i otpor strujanja zraka &gt;60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kPa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*s/m² prema HRN EN 29053, preko kojih se postavlja PE folija debljine 0,2mm s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ljepljenim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preklopima (u cijeni stavke). Stavka uključuje ulaganje trake od polistirena debljine 1cm u rešku između zida i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te izvedbu dilatacija svakih 6m². Obračun se vrši po m² kompletne izvedbe (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mineralna vuna, PE folija i armatura za glazuru).</w:t>
            </w:r>
          </w:p>
        </w:tc>
      </w:tr>
      <w:tr w:rsidR="00E93958" w:rsidRPr="00AE2D32" w14:paraId="08E349D7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1FD6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3806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Mineralna vuna - nudimo proizvod: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F0B81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93F17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060F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E93958" w:rsidRPr="00AE2D32" w14:paraId="3C7016F1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6F29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3842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_____________________________________________________________</w:t>
            </w:r>
          </w:p>
        </w:tc>
      </w:tr>
      <w:tr w:rsidR="00E93958" w:rsidRPr="00AE2D32" w14:paraId="3C4B3BF9" w14:textId="77777777" w:rsidTr="00E939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CE2A9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F54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A3BA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D3DD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880,0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8F17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E93958" w:rsidRPr="00AE2D32" w14:paraId="33028D7D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9866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BD5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0EDC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D7A7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150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E93958" w:rsidRPr="00AE2D32" w14:paraId="61A95B6D" w14:textId="77777777" w:rsidTr="00E93958">
        <w:trPr>
          <w:trHeight w:val="3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BEF8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lastRenderedPageBreak/>
              <w:t>V.3.</w:t>
            </w: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D94E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Izrada plivajućeg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rabiciranog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cementnog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 25/30, d=8cm mješavinom sitnog pijeska i cementa s vlaknima za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mikroarmiranje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armaturnom mrežom Q131 te finim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zaglađenjem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na isti se postavlja kamen kao završni sloj.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se polaže na ploče visoke tlačne čvrstoće i elastičnosti od mineralne vune debljine 2x3cm koje moraju imati sljedeće karakteristike: toplinska provodljivost 0,036 W/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mK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prema HRN EN 12667 i otpor strujanja zraka &gt;60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kPa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*s/m² prema HRN EN 29053, preko kojih se postavlja PE folija debljine 0,2mm s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ljepljenim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preklopima (u cijeni stavke). Stavka uključuje ulaganje trake od polistirena debljine 1cm u rešku između zida i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te izvedbu dilatacija svakih 6m². Obračun se vrši po m² kompletne izvedbe (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mineralna vuna, PE folija i armatura za glazuru).</w:t>
            </w:r>
          </w:p>
        </w:tc>
      </w:tr>
      <w:tr w:rsidR="00E93958" w:rsidRPr="00AE2D32" w14:paraId="17083BCA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97D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D1AC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Mineralna vuna - nudimo proizvod: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9556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0CFC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B0C6B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E93958" w:rsidRPr="00AE2D32" w14:paraId="71B66D3F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82D5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A060A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_____________________________________________________________</w:t>
            </w:r>
          </w:p>
        </w:tc>
      </w:tr>
      <w:tr w:rsidR="00E93958" w:rsidRPr="00AE2D32" w14:paraId="1F88ECF3" w14:textId="77777777" w:rsidTr="00E939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9EBE4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A26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C211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0434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2CCF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E93958" w:rsidRPr="00AE2D32" w14:paraId="2F867707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E18B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8556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070A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974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AA4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E93958" w:rsidRPr="00AE2D32" w14:paraId="6F2739FA" w14:textId="77777777" w:rsidTr="00E93958">
        <w:trPr>
          <w:trHeight w:val="3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0C07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AE2D32">
              <w:rPr>
                <w:rFonts w:eastAsia="Times New Roman" w:cs="Arial"/>
                <w:color w:val="000000"/>
                <w:lang w:eastAsia="hr-HR"/>
              </w:rPr>
              <w:t>V.4.</w:t>
            </w: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8A980" w14:textId="77777777" w:rsidR="00E93958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Izrada plivajućeg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rabiciranog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cementnog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prizemlja C 25/30, d=8cm mješavinom sitnog pijeska i cementa s vlaknima za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mikroarmiranje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armaturnom mrežom Q131 te finim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zaglađenjem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na isti se postavlja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epoxy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i keramičke pločice kao završni sloj.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se polaže na ploče visoke tlačne čvrstoće i elastičnosti od mineralne vune debljine 3+4cm koje moraju imati sljedeće karakteristike: toplinska provodljivost 0,036 W/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mK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prema HRN EN 12667 i otpor strujanja zraka &gt;60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kPa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*s/m² prema HRN EN 29053, preko kojih se postavlja PE folija debljine 0,2mm s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ljepljenim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preklopima (u cijeni stavke). Stavka uključuje ulaganje trake od polistirena debljine 1cm u rešku između zida i 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estriha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te izvedbu dilatacija svakih 6m². Obračun se vrši po m² kompletne izvedbe (</w:t>
            </w:r>
            <w:proofErr w:type="spellStart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estrih</w:t>
            </w:r>
            <w:proofErr w:type="spellEnd"/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mineralna vuna, PE folija i armatura za glazuru).</w:t>
            </w:r>
          </w:p>
          <w:p w14:paraId="4EF10347" w14:textId="77777777" w:rsidR="00F9172F" w:rsidRDefault="00F9172F" w:rsidP="00F9172F">
            <w:pP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B874321" w14:textId="6D1B64A5" w:rsidR="00F9172F" w:rsidRPr="00F9172F" w:rsidRDefault="00F9172F" w:rsidP="00F9172F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E93958" w:rsidRPr="00AE2D32" w14:paraId="71C2760B" w14:textId="77777777" w:rsidTr="00E93958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828BA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399E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Mineralna vuna - nudimo proizvod: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3844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68B0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F590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lang w:eastAsia="hr-HR"/>
              </w:rPr>
            </w:pPr>
          </w:p>
        </w:tc>
      </w:tr>
      <w:tr w:rsidR="00E93958" w:rsidRPr="00AE2D32" w14:paraId="166771C3" w14:textId="77777777" w:rsidTr="00523232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770F1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AB97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sz w:val="20"/>
                <w:szCs w:val="20"/>
                <w:lang w:eastAsia="hr-HR"/>
              </w:rPr>
              <w:t>_____________________________________________________________</w:t>
            </w:r>
          </w:p>
        </w:tc>
      </w:tr>
      <w:tr w:rsidR="00E93958" w:rsidRPr="00AE2D32" w14:paraId="665E0231" w14:textId="77777777" w:rsidTr="00E9395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F845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BE8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5000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F6C" w14:textId="77777777" w:rsidR="00E93958" w:rsidRPr="00523232" w:rsidRDefault="00E93958" w:rsidP="00AE2D32">
            <w:pPr>
              <w:spacing w:after="12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523232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320,0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989" w14:textId="77777777" w:rsidR="00E93958" w:rsidRPr="00AE2D32" w:rsidRDefault="00E93958" w:rsidP="00AE2D32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 w:rsidRPr="00AE2D3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</w:p>
        </w:tc>
      </w:tr>
    </w:tbl>
    <w:p w14:paraId="3F86FF32" w14:textId="77777777" w:rsidR="00E93958" w:rsidRPr="00AE2D32" w:rsidRDefault="00E93958" w:rsidP="00AE2D32">
      <w:pPr>
        <w:spacing w:after="120"/>
        <w:jc w:val="both"/>
      </w:pPr>
    </w:p>
    <w:p w14:paraId="38F9027F" w14:textId="77777777" w:rsidR="00E93958" w:rsidRPr="00AE2D32" w:rsidRDefault="00E93958" w:rsidP="00AE2D32">
      <w:pPr>
        <w:spacing w:after="120"/>
        <w:jc w:val="both"/>
        <w:rPr>
          <w:b/>
        </w:rPr>
      </w:pPr>
      <w:r w:rsidRPr="00AE2D32">
        <w:rPr>
          <w:b/>
        </w:rPr>
        <w:t xml:space="preserve">Molimo pojašnjenje navedenih stavki u pogledu da li je potrebno </w:t>
      </w:r>
      <w:proofErr w:type="spellStart"/>
      <w:r w:rsidRPr="00AE2D32">
        <w:rPr>
          <w:b/>
        </w:rPr>
        <w:t>stvvarno</w:t>
      </w:r>
      <w:proofErr w:type="spellEnd"/>
      <w:r w:rsidRPr="00AE2D32">
        <w:rPr>
          <w:b/>
        </w:rPr>
        <w:t xml:space="preserve"> armirati sa mrežom ili </w:t>
      </w:r>
      <w:proofErr w:type="spellStart"/>
      <w:r w:rsidRPr="00AE2D32">
        <w:rPr>
          <w:b/>
        </w:rPr>
        <w:t>vlaknim</w:t>
      </w:r>
      <w:proofErr w:type="spellEnd"/>
      <w:r w:rsidRPr="00AE2D32">
        <w:rPr>
          <w:b/>
        </w:rPr>
        <w:t xml:space="preserve"> ili je </w:t>
      </w:r>
      <w:proofErr w:type="spellStart"/>
      <w:r w:rsidRPr="00AE2D32">
        <w:rPr>
          <w:b/>
        </w:rPr>
        <w:t>dovojlno</w:t>
      </w:r>
      <w:proofErr w:type="spellEnd"/>
      <w:r w:rsidRPr="00AE2D32">
        <w:rPr>
          <w:b/>
        </w:rPr>
        <w:t xml:space="preserve"> ili samo vlakna ili mreža?</w:t>
      </w:r>
    </w:p>
    <w:p w14:paraId="40E1BABA" w14:textId="77777777" w:rsidR="00AE2D32" w:rsidRPr="00AC6C88" w:rsidRDefault="00AE2D32" w:rsidP="00A218B5">
      <w:pPr>
        <w:pStyle w:val="ListParagraph"/>
        <w:numPr>
          <w:ilvl w:val="0"/>
          <w:numId w:val="2"/>
        </w:numPr>
        <w:spacing w:after="120"/>
        <w:jc w:val="both"/>
      </w:pPr>
      <w:r w:rsidRPr="00AC6C88">
        <w:t>Odgovor naručitelja:</w:t>
      </w:r>
    </w:p>
    <w:p w14:paraId="2EC53EE6" w14:textId="77777777" w:rsidR="007A7841" w:rsidRPr="00AC6C88" w:rsidRDefault="007A7841" w:rsidP="00AE2D32">
      <w:pPr>
        <w:spacing w:after="120"/>
        <w:jc w:val="both"/>
      </w:pPr>
      <w:r w:rsidRPr="00AC6C88">
        <w:t xml:space="preserve">Potrebno je izvesti i </w:t>
      </w:r>
      <w:proofErr w:type="spellStart"/>
      <w:r w:rsidRPr="00AC6C88">
        <w:t>mikroarmiranje</w:t>
      </w:r>
      <w:proofErr w:type="spellEnd"/>
      <w:r w:rsidRPr="00AC6C88">
        <w:t xml:space="preserve"> vlaknima i postaviti armaturnu mrežu s preklopima, prema navedenoj </w:t>
      </w:r>
      <w:proofErr w:type="spellStart"/>
      <w:r w:rsidRPr="00AC6C88">
        <w:t>spcecifikaciji</w:t>
      </w:r>
      <w:proofErr w:type="spellEnd"/>
      <w:r w:rsidRPr="00AC6C88">
        <w:t>.</w:t>
      </w:r>
    </w:p>
    <w:p w14:paraId="600AC26A" w14:textId="77777777" w:rsidR="00210FC7" w:rsidRPr="00AE2D32" w:rsidRDefault="00210FC7" w:rsidP="00AE2D32">
      <w:pPr>
        <w:spacing w:after="120"/>
        <w:jc w:val="both"/>
      </w:pPr>
    </w:p>
    <w:p w14:paraId="4FB46ACA" w14:textId="77777777" w:rsidR="00486BA0" w:rsidRPr="00523232" w:rsidRDefault="00523232" w:rsidP="00AE2D32">
      <w:pPr>
        <w:spacing w:after="120"/>
        <w:jc w:val="both"/>
        <w:rPr>
          <w:b/>
        </w:rPr>
      </w:pPr>
      <w:r w:rsidRPr="00523232">
        <w:rPr>
          <w:b/>
        </w:rPr>
        <w:t>UPIT 7: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700"/>
        <w:gridCol w:w="5200"/>
        <w:gridCol w:w="840"/>
        <w:gridCol w:w="1000"/>
      </w:tblGrid>
      <w:tr w:rsidR="00210FC7" w:rsidRPr="00AE2D32" w14:paraId="59A6E139" w14:textId="77777777" w:rsidTr="00210FC7">
        <w:trPr>
          <w:trHeight w:val="2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19FCC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AE2D32">
              <w:rPr>
                <w:rFonts w:eastAsia="Times New Roman" w:cs="Arial"/>
                <w:sz w:val="18"/>
                <w:szCs w:val="18"/>
                <w:lang w:eastAsia="hr-HR"/>
              </w:rPr>
              <w:t>C.5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3BD6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REVIZIONO OKNO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5BB5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5DD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0FC7" w:rsidRPr="00AE2D32" w14:paraId="14C38C42" w14:textId="77777777" w:rsidTr="00210FC7">
        <w:trPr>
          <w:trHeight w:val="68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1B8D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D3E1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Dobava materijala, te izvedba armirano betonskog revizionog okna odvodnje od betona s dodacima za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vodonepropusnost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Na dnu okna izvesti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kinetu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od mršavog betona završno zaglađenu.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Kinete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i stijenke okna obraditi vodonepropusnom cementnom žbukom.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U stijenke okna ugraditi na razmaku od 30 cm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ljevano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željezne penjalice.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>U stijenkama okna predvidjeti dva ili više otvora za prolaz cijevi okruglog presjeka.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>Prilikom montaže cijevi u širini betonske stijenke okna montirati gumene brtve za pričvršćivanje PVC cijevi u beton pri betoniranju revizionog okna na način da se postigne vodonepropusna veza između PVC cijevi i betonske stijenke gumenim brtvama.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>Debljinu stijenki, donju ploču, te pokrovnu ploču, kao i tip armature, te klasu betona izvesti prema statičkom proračunu (faza izvedbeni projekt).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Nad sabirnom jamom montirati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ljevano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željezni poklopac veličine 60x60 cm s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odgovarajučim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profilom koji se ugrađuje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prilkom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 betoniranja gornje ploče, klase opterećenja A15 - C250 kN (vidi stavka pod vanjska odvodnja).</w:t>
            </w: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br/>
              <w:t xml:space="preserve">U stavku uračunati sav potreban spojni i brtveni materijal, sve do potpune </w:t>
            </w:r>
            <w:proofErr w:type="spellStart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funklcionalnosti</w:t>
            </w:r>
            <w:proofErr w:type="spellEnd"/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8B1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2DA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210FC7" w:rsidRPr="00AE2D32" w14:paraId="2F600117" w14:textId="77777777" w:rsidTr="00210FC7">
        <w:trPr>
          <w:trHeight w:val="2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88B95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F912B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dimenzije - svijetli otvor - 100x60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07BF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FE3C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4,0 </w:t>
            </w:r>
          </w:p>
        </w:tc>
      </w:tr>
      <w:tr w:rsidR="00210FC7" w:rsidRPr="00AE2D32" w14:paraId="16B3858F" w14:textId="77777777" w:rsidTr="00210FC7">
        <w:trPr>
          <w:trHeight w:val="2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992A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9083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dimenzije - svijetli otvor - 100x100 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CA89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>kom.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8E2F" w14:textId="77777777" w:rsidR="00210FC7" w:rsidRPr="00AE2D32" w:rsidRDefault="00210FC7" w:rsidP="00AE2D32">
            <w:pPr>
              <w:spacing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AE2D32">
              <w:rPr>
                <w:rFonts w:eastAsia="Times New Roman" w:cs="Arial"/>
                <w:sz w:val="20"/>
                <w:szCs w:val="20"/>
                <w:lang w:eastAsia="hr-HR"/>
              </w:rPr>
              <w:t xml:space="preserve">1,0 </w:t>
            </w:r>
          </w:p>
        </w:tc>
      </w:tr>
    </w:tbl>
    <w:p w14:paraId="00177953" w14:textId="77777777" w:rsidR="00210FC7" w:rsidRPr="00AE2D32" w:rsidRDefault="00210FC7" w:rsidP="00AE2D32">
      <w:pPr>
        <w:spacing w:after="120"/>
        <w:jc w:val="both"/>
        <w:rPr>
          <w:b/>
        </w:rPr>
      </w:pPr>
    </w:p>
    <w:p w14:paraId="1F960560" w14:textId="77777777" w:rsidR="00210FC7" w:rsidRPr="00AE2D32" w:rsidRDefault="00210FC7" w:rsidP="00AE2D32">
      <w:pPr>
        <w:spacing w:after="120"/>
        <w:jc w:val="both"/>
        <w:rPr>
          <w:b/>
        </w:rPr>
      </w:pPr>
      <w:r w:rsidRPr="00AE2D32">
        <w:rPr>
          <w:b/>
        </w:rPr>
        <w:t>Molimo da se za navedenu stavku definira dubina okna.</w:t>
      </w:r>
    </w:p>
    <w:p w14:paraId="5958EB66" w14:textId="77777777" w:rsidR="00486BA0" w:rsidRPr="00AC6C88" w:rsidRDefault="00486BA0" w:rsidP="00A218B5">
      <w:pPr>
        <w:pStyle w:val="ListParagraph"/>
        <w:numPr>
          <w:ilvl w:val="0"/>
          <w:numId w:val="2"/>
        </w:numPr>
        <w:spacing w:after="120"/>
        <w:jc w:val="both"/>
      </w:pPr>
      <w:bookmarkStart w:id="1" w:name="_GoBack"/>
      <w:r w:rsidRPr="00AC6C88">
        <w:t>Odgovor naručitelja:</w:t>
      </w:r>
    </w:p>
    <w:p w14:paraId="434B8005" w14:textId="77777777" w:rsidR="007A7841" w:rsidRPr="00AC6C88" w:rsidRDefault="00D66FAF" w:rsidP="00AE2D32">
      <w:pPr>
        <w:spacing w:after="120"/>
        <w:jc w:val="both"/>
      </w:pPr>
      <w:r w:rsidRPr="00AC6C88">
        <w:t>T</w:t>
      </w:r>
      <w:r w:rsidR="007A7841" w:rsidRPr="00AC6C88">
        <w:t>očn</w:t>
      </w:r>
      <w:r w:rsidRPr="00AC6C88">
        <w:t>a</w:t>
      </w:r>
      <w:r w:rsidR="007A7841" w:rsidRPr="00AC6C88">
        <w:t xml:space="preserve"> dubinu </w:t>
      </w:r>
      <w:r w:rsidR="00AB49D1" w:rsidRPr="00AC6C88">
        <w:t xml:space="preserve">svih </w:t>
      </w:r>
      <w:r w:rsidR="007A7841" w:rsidRPr="00AC6C88">
        <w:t>ok</w:t>
      </w:r>
      <w:r w:rsidR="00AB49D1" w:rsidRPr="00AC6C88">
        <w:t>a</w:t>
      </w:r>
      <w:r w:rsidR="007A7841" w:rsidRPr="00AC6C88">
        <w:t xml:space="preserve">na </w:t>
      </w:r>
      <w:r w:rsidRPr="00AC6C88">
        <w:t xml:space="preserve">dane su u sklopu </w:t>
      </w:r>
      <w:r w:rsidR="007A7841" w:rsidRPr="00AC6C88">
        <w:t>Glavn</w:t>
      </w:r>
      <w:r w:rsidRPr="00AC6C88">
        <w:t xml:space="preserve">og </w:t>
      </w:r>
      <w:r w:rsidR="007A7841" w:rsidRPr="00AC6C88">
        <w:t>projekt</w:t>
      </w:r>
      <w:r w:rsidRPr="00AC6C88">
        <w:t>a</w:t>
      </w:r>
      <w:r w:rsidR="007A7841" w:rsidRPr="00AC6C88">
        <w:t xml:space="preserve"> vodovoda i odvodnje.</w:t>
      </w:r>
      <w:bookmarkEnd w:id="1"/>
    </w:p>
    <w:sectPr w:rsidR="007A7841" w:rsidRPr="00AC6C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7098" w14:textId="77777777" w:rsidR="0075073D" w:rsidRDefault="0075073D" w:rsidP="00486BA0">
      <w:pPr>
        <w:spacing w:after="0" w:line="240" w:lineRule="auto"/>
      </w:pPr>
      <w:r>
        <w:separator/>
      </w:r>
    </w:p>
  </w:endnote>
  <w:endnote w:type="continuationSeparator" w:id="0">
    <w:p w14:paraId="4F2C78D6" w14:textId="77777777" w:rsidR="0075073D" w:rsidRDefault="0075073D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B3AC" w14:textId="77777777" w:rsidR="0075073D" w:rsidRDefault="0075073D" w:rsidP="00486BA0">
      <w:pPr>
        <w:spacing w:after="0" w:line="240" w:lineRule="auto"/>
      </w:pPr>
      <w:r>
        <w:separator/>
      </w:r>
    </w:p>
  </w:footnote>
  <w:footnote w:type="continuationSeparator" w:id="0">
    <w:p w14:paraId="58BD08DF" w14:textId="77777777" w:rsidR="0075073D" w:rsidRDefault="0075073D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45E3C"/>
    <w:rsid w:val="001905FD"/>
    <w:rsid w:val="001A67E0"/>
    <w:rsid w:val="00210FC7"/>
    <w:rsid w:val="0023063F"/>
    <w:rsid w:val="002464B4"/>
    <w:rsid w:val="002A51A1"/>
    <w:rsid w:val="00486BA0"/>
    <w:rsid w:val="004968F5"/>
    <w:rsid w:val="004C1A63"/>
    <w:rsid w:val="005163E8"/>
    <w:rsid w:val="00523232"/>
    <w:rsid w:val="00533886"/>
    <w:rsid w:val="006602A8"/>
    <w:rsid w:val="0075073D"/>
    <w:rsid w:val="007A7841"/>
    <w:rsid w:val="00823A82"/>
    <w:rsid w:val="008F5082"/>
    <w:rsid w:val="009D0B3C"/>
    <w:rsid w:val="00A218B5"/>
    <w:rsid w:val="00A754FE"/>
    <w:rsid w:val="00AB49D1"/>
    <w:rsid w:val="00AC6C88"/>
    <w:rsid w:val="00AE2D32"/>
    <w:rsid w:val="00B7059C"/>
    <w:rsid w:val="00B80693"/>
    <w:rsid w:val="00CD215F"/>
    <w:rsid w:val="00CE70B6"/>
    <w:rsid w:val="00D66FAF"/>
    <w:rsid w:val="00DF773D"/>
    <w:rsid w:val="00E24E6C"/>
    <w:rsid w:val="00E44567"/>
    <w:rsid w:val="00E50622"/>
    <w:rsid w:val="00E93958"/>
    <w:rsid w:val="00F56938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7F24-C3A4-48B0-BBFD-E77B0657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User</cp:lastModifiedBy>
  <cp:revision>3</cp:revision>
  <dcterms:created xsi:type="dcterms:W3CDTF">2019-05-28T10:14:00Z</dcterms:created>
  <dcterms:modified xsi:type="dcterms:W3CDTF">2019-05-28T12:43:00Z</dcterms:modified>
</cp:coreProperties>
</file>