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3A" w:rsidRDefault="0087263A" w:rsidP="0087263A">
      <w:pPr>
        <w:tabs>
          <w:tab w:val="left" w:pos="460"/>
          <w:tab w:val="right" w:pos="4032"/>
        </w:tabs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                 FER</w:t>
      </w:r>
      <w:r w:rsidRPr="005F4226">
        <w:rPr>
          <w:b w:val="0"/>
          <w:i w:val="0"/>
        </w:rPr>
        <w:t>OTEHNA d.o.o.</w:t>
      </w:r>
    </w:p>
    <w:p w:rsidR="0087263A" w:rsidRDefault="0087263A" w:rsidP="0087263A">
      <w:pPr>
        <w:tabs>
          <w:tab w:val="left" w:pos="460"/>
          <w:tab w:val="right" w:pos="4032"/>
        </w:tabs>
        <w:rPr>
          <w:b w:val="0"/>
          <w:i w:val="0"/>
          <w:sz w:val="18"/>
        </w:rPr>
      </w:pPr>
      <w:r w:rsidRPr="005F4226">
        <w:rPr>
          <w:b w:val="0"/>
          <w:i w:val="0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1807210" cy="462280"/>
            <wp:effectExtent l="0" t="0" r="2540" b="0"/>
            <wp:wrapTight wrapText="bothSides">
              <wp:wrapPolygon edited="0">
                <wp:start x="0" y="0"/>
                <wp:lineTo x="0" y="20473"/>
                <wp:lineTo x="21403" y="20473"/>
                <wp:lineTo x="21403" y="0"/>
                <wp:lineTo x="0" y="0"/>
              </wp:wrapPolygon>
            </wp:wrapTight>
            <wp:docPr id="1" name="Slika 1" descr="lo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 w:val="0"/>
          <w:sz w:val="20"/>
        </w:rPr>
        <w:t xml:space="preserve">                                                   </w:t>
      </w:r>
      <w:proofErr w:type="spellStart"/>
      <w:r>
        <w:rPr>
          <w:b w:val="0"/>
          <w:i w:val="0"/>
          <w:sz w:val="20"/>
        </w:rPr>
        <w:t>K</w:t>
      </w:r>
      <w:r>
        <w:rPr>
          <w:b w:val="0"/>
          <w:i w:val="0"/>
          <w:sz w:val="18"/>
        </w:rPr>
        <w:t>ukuljanovo</w:t>
      </w:r>
      <w:proofErr w:type="spellEnd"/>
      <w:r>
        <w:rPr>
          <w:b w:val="0"/>
          <w:i w:val="0"/>
          <w:sz w:val="18"/>
        </w:rPr>
        <w:t xml:space="preserve"> 312</w:t>
      </w:r>
      <w:r w:rsidRPr="005E4DEE">
        <w:rPr>
          <w:b w:val="0"/>
          <w:i w:val="0"/>
          <w:sz w:val="18"/>
        </w:rPr>
        <w:t>, 5122</w:t>
      </w:r>
      <w:r>
        <w:rPr>
          <w:b w:val="0"/>
          <w:i w:val="0"/>
          <w:sz w:val="18"/>
        </w:rPr>
        <w:t xml:space="preserve">7  </w:t>
      </w:r>
      <w:proofErr w:type="spellStart"/>
      <w:r>
        <w:rPr>
          <w:b w:val="0"/>
          <w:i w:val="0"/>
          <w:sz w:val="18"/>
        </w:rPr>
        <w:t>Kukuljanovo</w:t>
      </w:r>
      <w:proofErr w:type="spellEnd"/>
      <w:r>
        <w:rPr>
          <w:b w:val="0"/>
          <w:i w:val="0"/>
          <w:sz w:val="18"/>
        </w:rPr>
        <w:t xml:space="preserve">, Hrvatska               </w:t>
      </w:r>
    </w:p>
    <w:p w:rsidR="0087263A" w:rsidRPr="00F27C6D" w:rsidRDefault="0087263A" w:rsidP="0087263A">
      <w:pPr>
        <w:tabs>
          <w:tab w:val="left" w:pos="460"/>
          <w:tab w:val="right" w:pos="4032"/>
        </w:tabs>
        <w:rPr>
          <w:b w:val="0"/>
          <w:i w:val="0"/>
        </w:rPr>
      </w:pPr>
      <w:r>
        <w:rPr>
          <w:b w:val="0"/>
          <w:i w:val="0"/>
          <w:sz w:val="18"/>
        </w:rPr>
        <w:t xml:space="preserve">                                                                                </w:t>
      </w:r>
      <w:r w:rsidRPr="005E4DEE">
        <w:rPr>
          <w:b w:val="0"/>
          <w:i w:val="0"/>
          <w:sz w:val="18"/>
        </w:rPr>
        <w:t xml:space="preserve">Tel:051/503-100 Fax: 051/503-105        </w:t>
      </w:r>
    </w:p>
    <w:p w:rsidR="0087263A" w:rsidRDefault="0087263A" w:rsidP="0087263A">
      <w:pPr>
        <w:tabs>
          <w:tab w:val="left" w:pos="460"/>
          <w:tab w:val="right" w:pos="4032"/>
        </w:tabs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</w:t>
      </w:r>
      <w:r w:rsidRPr="005E4DEE">
        <w:rPr>
          <w:b w:val="0"/>
          <w:i w:val="0"/>
          <w:sz w:val="18"/>
        </w:rPr>
        <w:t xml:space="preserve">  Žiro račun: </w:t>
      </w:r>
      <w:r w:rsidRPr="000E7201">
        <w:rPr>
          <w:b w:val="0"/>
          <w:i w:val="0"/>
          <w:sz w:val="18"/>
        </w:rPr>
        <w:t>HR3324020061100044618</w:t>
      </w:r>
      <w:r w:rsidRPr="005E4DEE">
        <w:rPr>
          <w:b w:val="0"/>
          <w:i w:val="0"/>
          <w:sz w:val="18"/>
        </w:rPr>
        <w:t>kod</w:t>
      </w:r>
      <w:r>
        <w:rPr>
          <w:b w:val="0"/>
          <w:i w:val="0"/>
          <w:sz w:val="18"/>
        </w:rPr>
        <w:t xml:space="preserve"> </w:t>
      </w:r>
      <w:r w:rsidRPr="005E4DEE">
        <w:rPr>
          <w:b w:val="0"/>
          <w:i w:val="0"/>
          <w:sz w:val="18"/>
        </w:rPr>
        <w:t>E</w:t>
      </w:r>
      <w:r>
        <w:rPr>
          <w:b w:val="0"/>
          <w:i w:val="0"/>
          <w:sz w:val="18"/>
        </w:rPr>
        <w:t xml:space="preserve">rste &amp; </w:t>
      </w:r>
      <w:proofErr w:type="spellStart"/>
      <w:r>
        <w:rPr>
          <w:b w:val="0"/>
          <w:i w:val="0"/>
          <w:sz w:val="18"/>
        </w:rPr>
        <w:t>Steiermarkische</w:t>
      </w:r>
      <w:proofErr w:type="spellEnd"/>
      <w:r>
        <w:rPr>
          <w:b w:val="0"/>
          <w:i w:val="0"/>
          <w:sz w:val="18"/>
        </w:rPr>
        <w:t xml:space="preserve"> </w:t>
      </w:r>
      <w:proofErr w:type="spellStart"/>
      <w:r>
        <w:rPr>
          <w:b w:val="0"/>
          <w:i w:val="0"/>
          <w:sz w:val="18"/>
        </w:rPr>
        <w:t>bank</w:t>
      </w:r>
      <w:proofErr w:type="spellEnd"/>
      <w:r>
        <w:rPr>
          <w:b w:val="0"/>
          <w:i w:val="0"/>
          <w:sz w:val="18"/>
        </w:rPr>
        <w:t xml:space="preserve"> </w:t>
      </w:r>
      <w:proofErr w:type="spellStart"/>
      <w:r>
        <w:rPr>
          <w:b w:val="0"/>
          <w:i w:val="0"/>
          <w:sz w:val="18"/>
        </w:rPr>
        <w:t>dd</w:t>
      </w:r>
      <w:proofErr w:type="spellEnd"/>
      <w:r>
        <w:rPr>
          <w:b w:val="0"/>
          <w:i w:val="0"/>
          <w:sz w:val="18"/>
        </w:rPr>
        <w:t xml:space="preserve">                                                 </w:t>
      </w:r>
    </w:p>
    <w:p w:rsidR="0087263A" w:rsidRDefault="0087263A" w:rsidP="0087263A">
      <w:pPr>
        <w:tabs>
          <w:tab w:val="left" w:pos="460"/>
          <w:tab w:val="right" w:pos="4032"/>
        </w:tabs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        Trg. sud Rijeka,  MBS 040023011, Uprava: Ivan Katalinić   </w:t>
      </w:r>
    </w:p>
    <w:p w:rsidR="0087263A" w:rsidRDefault="0087263A" w:rsidP="0087263A">
      <w:pPr>
        <w:tabs>
          <w:tab w:val="left" w:pos="460"/>
          <w:tab w:val="right" w:pos="4032"/>
        </w:tabs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                                                                               Temeljni  kapital uplaćen: 2.520.000,00 kn u gotovini</w:t>
      </w:r>
    </w:p>
    <w:p w:rsidR="0087263A" w:rsidRDefault="0087263A" w:rsidP="0087263A">
      <w:pPr>
        <w:rPr>
          <w:b w:val="0"/>
          <w:i w:val="0"/>
          <w:sz w:val="18"/>
        </w:rPr>
      </w:pPr>
      <w:r>
        <w:rPr>
          <w:b w:val="0"/>
          <w:i w:val="0"/>
          <w:sz w:val="18"/>
        </w:rPr>
        <w:t xml:space="preserve">                                                                                              </w:t>
      </w:r>
      <w:r w:rsidRPr="005E4DEE">
        <w:rPr>
          <w:b w:val="0"/>
          <w:i w:val="0"/>
          <w:sz w:val="18"/>
        </w:rPr>
        <w:t xml:space="preserve"> OIB</w:t>
      </w:r>
      <w:r>
        <w:rPr>
          <w:b w:val="0"/>
          <w:i w:val="0"/>
          <w:sz w:val="18"/>
        </w:rPr>
        <w:t>: 34452690496, Porezni broj 01123599, Šifra djelatnosti 2740</w:t>
      </w:r>
    </w:p>
    <w:p w:rsidR="0087263A" w:rsidRDefault="0087263A" w:rsidP="0087263A">
      <w:pPr>
        <w:rPr>
          <w:b w:val="0"/>
          <w:i w:val="0"/>
          <w:sz w:val="18"/>
        </w:rPr>
      </w:pPr>
    </w:p>
    <w:p w:rsidR="00181088" w:rsidRDefault="00181088"/>
    <w:p w:rsidR="0087263A" w:rsidRDefault="0087263A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Prema prilogu 4. „Postupci nabave za osobe koje nisu obveznici Zakona o javnoj nabavi“</w:t>
      </w: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Poduzeće Ferotehna d.o.o. objavljuje u sklopu projekta „Ferotehna ulaže u                                                                                                  razvoj</w:t>
      </w:r>
      <w:r w:rsidR="00327084">
        <w:rPr>
          <w:b w:val="0"/>
          <w:i w:val="0"/>
          <w:sz w:val="24"/>
          <w:szCs w:val="24"/>
        </w:rPr>
        <w:t xml:space="preserve"> i rast</w:t>
      </w:r>
      <w:r>
        <w:rPr>
          <w:b w:val="0"/>
          <w:i w:val="0"/>
          <w:sz w:val="24"/>
          <w:szCs w:val="24"/>
        </w:rPr>
        <w:t>“</w:t>
      </w: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</w:p>
    <w:p w:rsidR="0087263A" w:rsidRPr="0087263A" w:rsidRDefault="0087263A" w:rsidP="0087263A">
      <w:pPr>
        <w:jc w:val="center"/>
        <w:rPr>
          <w:i w:val="0"/>
          <w:sz w:val="24"/>
          <w:szCs w:val="24"/>
        </w:rPr>
      </w:pPr>
      <w:r w:rsidRPr="0087263A">
        <w:rPr>
          <w:i w:val="0"/>
          <w:sz w:val="24"/>
          <w:szCs w:val="24"/>
        </w:rPr>
        <w:t>OBAVIJEST O NABAVI</w:t>
      </w: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predmet nabave:</w:t>
      </w:r>
    </w:p>
    <w:p w:rsidR="0087263A" w:rsidRDefault="0009435F" w:rsidP="0087263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5-osni </w:t>
      </w:r>
      <w:r w:rsidR="0087263A">
        <w:rPr>
          <w:b w:val="0"/>
          <w:i w:val="0"/>
          <w:sz w:val="24"/>
          <w:szCs w:val="24"/>
        </w:rPr>
        <w:t>CNC OBRADNI CENTAR</w:t>
      </w: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Evidencijski broj nabave:01</w:t>
      </w:r>
    </w:p>
    <w:p w:rsidR="0087263A" w:rsidRDefault="0087263A" w:rsidP="0087263A">
      <w:pPr>
        <w:jc w:val="center"/>
        <w:rPr>
          <w:b w:val="0"/>
          <w:i w:val="0"/>
          <w:sz w:val="24"/>
          <w:szCs w:val="24"/>
        </w:rPr>
      </w:pPr>
    </w:p>
    <w:p w:rsidR="00853D4A" w:rsidRDefault="00853D4A" w:rsidP="00853D4A">
      <w:pPr>
        <w:pStyle w:val="Default"/>
      </w:pPr>
    </w:p>
    <w:p w:rsidR="00853D4A" w:rsidRDefault="00853D4A" w:rsidP="00853D4A">
      <w:pPr>
        <w:pStyle w:val="Default"/>
      </w:pPr>
      <w:r>
        <w:t xml:space="preserve"> </w:t>
      </w:r>
    </w:p>
    <w:p w:rsidR="00853D4A" w:rsidRDefault="00853D4A" w:rsidP="00853D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Podaci o naručitelju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3432"/>
      </w:tblGrid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Naziv Naručitelja </w:t>
            </w:r>
          </w:p>
        </w:tc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Ferotehna d.o.o., 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Sjedište Naručitelja </w:t>
            </w:r>
          </w:p>
        </w:tc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Kukuljanovo</w:t>
            </w:r>
            <w:proofErr w:type="spellEnd"/>
            <w:r>
              <w:rPr>
                <w:sz w:val="22"/>
                <w:szCs w:val="22"/>
              </w:rPr>
              <w:t xml:space="preserve"> 312, 51227 </w:t>
            </w:r>
            <w:proofErr w:type="spellStart"/>
            <w:r>
              <w:rPr>
                <w:sz w:val="22"/>
                <w:szCs w:val="22"/>
              </w:rPr>
              <w:t>Kukuljanovo</w:t>
            </w:r>
            <w:proofErr w:type="spellEnd"/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OIB: </w:t>
            </w:r>
          </w:p>
        </w:tc>
        <w:tc>
          <w:tcPr>
            <w:tcW w:w="3432" w:type="dxa"/>
          </w:tcPr>
          <w:p w:rsidR="00853D4A" w:rsidRDefault="00323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34452690496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MB: </w:t>
            </w:r>
          </w:p>
        </w:tc>
        <w:tc>
          <w:tcPr>
            <w:tcW w:w="3432" w:type="dxa"/>
          </w:tcPr>
          <w:p w:rsidR="00853D4A" w:rsidRDefault="00323E4F">
            <w:pPr>
              <w:pStyle w:val="Default"/>
              <w:rPr>
                <w:sz w:val="22"/>
                <w:szCs w:val="22"/>
              </w:rPr>
            </w:pPr>
            <w:r w:rsidRPr="00323E4F">
              <w:rPr>
                <w:sz w:val="22"/>
                <w:szCs w:val="22"/>
              </w:rPr>
              <w:t>040023011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Odgovorna osoba i funkcija Naručitelja: </w:t>
            </w:r>
          </w:p>
        </w:tc>
        <w:tc>
          <w:tcPr>
            <w:tcW w:w="3432" w:type="dxa"/>
          </w:tcPr>
          <w:p w:rsidR="00853D4A" w:rsidRDefault="00323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Katalinić</w:t>
            </w:r>
            <w:r w:rsidR="00853D4A">
              <w:rPr>
                <w:sz w:val="22"/>
                <w:szCs w:val="22"/>
              </w:rPr>
              <w:t xml:space="preserve">, direktor 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 osoba Naručitelja </w:t>
            </w:r>
          </w:p>
        </w:tc>
        <w:tc>
          <w:tcPr>
            <w:tcW w:w="3432" w:type="dxa"/>
          </w:tcPr>
          <w:p w:rsidR="00853D4A" w:rsidRDefault="00323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Sebastijan Božić</w:t>
            </w:r>
            <w:r w:rsidR="00853D4A">
              <w:rPr>
                <w:sz w:val="22"/>
                <w:szCs w:val="22"/>
              </w:rPr>
              <w:t xml:space="preserve"> 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Funkcija kod Naručitelja </w:t>
            </w:r>
          </w:p>
        </w:tc>
        <w:tc>
          <w:tcPr>
            <w:tcW w:w="3432" w:type="dxa"/>
          </w:tcPr>
          <w:p w:rsidR="00853D4A" w:rsidRDefault="00323E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Inženjer razvoja proizvoda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telefona </w:t>
            </w:r>
          </w:p>
        </w:tc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00385 5</w:t>
            </w:r>
            <w:r w:rsidR="00323E4F">
              <w:rPr>
                <w:sz w:val="22"/>
                <w:szCs w:val="22"/>
              </w:rPr>
              <w:t>1 503 122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3D4A">
        <w:trPr>
          <w:trHeight w:val="110"/>
        </w:trPr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elektroničke pošte kontakt osobe </w:t>
            </w:r>
          </w:p>
        </w:tc>
        <w:tc>
          <w:tcPr>
            <w:tcW w:w="3432" w:type="dxa"/>
          </w:tcPr>
          <w:p w:rsidR="00853D4A" w:rsidRDefault="00853D4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3E4F" w:rsidRPr="00323E4F">
              <w:rPr>
                <w:sz w:val="22"/>
                <w:szCs w:val="22"/>
              </w:rPr>
              <w:t>sebastijan.bozic@ferotehna.com</w:t>
            </w:r>
          </w:p>
        </w:tc>
      </w:tr>
    </w:tbl>
    <w:p w:rsidR="00A721F4" w:rsidRDefault="00A721F4" w:rsidP="00A721F4">
      <w:pPr>
        <w:pStyle w:val="Default"/>
      </w:pPr>
    </w:p>
    <w:p w:rsidR="00A721F4" w:rsidRDefault="00A721F4" w:rsidP="00A721F4">
      <w:pPr>
        <w:pStyle w:val="Default"/>
      </w:pPr>
      <w:r>
        <w:t xml:space="preserve"> </w:t>
      </w:r>
    </w:p>
    <w:p w:rsidR="00A721F4" w:rsidRDefault="00A721F4" w:rsidP="00A721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Osnovne informacije o tehničkim pojedinostima predmeta nabave </w:t>
      </w:r>
    </w:p>
    <w:p w:rsidR="00A721F4" w:rsidRDefault="00A721F4" w:rsidP="00A721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 nabave je: </w:t>
      </w:r>
    </w:p>
    <w:p w:rsidR="00A721F4" w:rsidRPr="00A721F4" w:rsidRDefault="0009435F" w:rsidP="00A721F4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5-osni </w:t>
      </w:r>
      <w:r w:rsidR="00A721F4">
        <w:rPr>
          <w:b/>
          <w:bCs/>
          <w:sz w:val="22"/>
          <w:szCs w:val="22"/>
        </w:rPr>
        <w:t>CNC obradni centar</w:t>
      </w:r>
    </w:p>
    <w:p w:rsidR="00A721F4" w:rsidRDefault="00A721F4" w:rsidP="00A721F4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721F4" w:rsidRDefault="00A721F4" w:rsidP="00A721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Rok za dostavu ponuda (datum i vrijeme) </w:t>
      </w:r>
    </w:p>
    <w:p w:rsidR="00A721F4" w:rsidRDefault="00A721F4" w:rsidP="00A721F4">
      <w:pPr>
        <w:pStyle w:val="Default"/>
        <w:rPr>
          <w:sz w:val="22"/>
          <w:szCs w:val="22"/>
        </w:rPr>
      </w:pPr>
    </w:p>
    <w:p w:rsidR="00A721F4" w:rsidRDefault="00A721F4" w:rsidP="00A721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Ponuditelj predaje ponudu isključivo elektroničkim putem na elektroničku adresu: </w:t>
      </w:r>
      <w:r w:rsidR="0009435F" w:rsidRPr="0009435F">
        <w:rPr>
          <w:rStyle w:val="Hiperveza"/>
          <w:sz w:val="22"/>
          <w:szCs w:val="22"/>
        </w:rPr>
        <w:t>sebastijan.bozic@feroteh</w:t>
      </w:r>
      <w:r w:rsidR="0009435F">
        <w:rPr>
          <w:rStyle w:val="Hiperveza"/>
          <w:sz w:val="22"/>
          <w:szCs w:val="22"/>
        </w:rPr>
        <w:t>na.com</w:t>
      </w:r>
      <w:r>
        <w:rPr>
          <w:sz w:val="22"/>
          <w:szCs w:val="22"/>
        </w:rPr>
        <w:t xml:space="preserve"> najkasnije do</w:t>
      </w:r>
      <w:r w:rsidR="0009435F">
        <w:rPr>
          <w:sz w:val="22"/>
          <w:szCs w:val="22"/>
        </w:rPr>
        <w:t xml:space="preserve"> </w:t>
      </w:r>
      <w:r w:rsidR="00F37EB1">
        <w:rPr>
          <w:b/>
          <w:bCs/>
          <w:sz w:val="22"/>
          <w:szCs w:val="22"/>
        </w:rPr>
        <w:t>2</w:t>
      </w:r>
      <w:r w:rsidR="0040059D">
        <w:rPr>
          <w:b/>
          <w:bCs/>
          <w:sz w:val="22"/>
          <w:szCs w:val="22"/>
        </w:rPr>
        <w:t>9</w:t>
      </w:r>
      <w:r w:rsidR="0009435F">
        <w:rPr>
          <w:b/>
          <w:bCs/>
          <w:sz w:val="22"/>
          <w:szCs w:val="22"/>
        </w:rPr>
        <w:t>.</w:t>
      </w:r>
      <w:r w:rsidR="00F37EB1">
        <w:rPr>
          <w:b/>
          <w:bCs/>
          <w:sz w:val="22"/>
          <w:szCs w:val="22"/>
        </w:rPr>
        <w:t>10</w:t>
      </w:r>
      <w:r w:rsidR="0009435F">
        <w:rPr>
          <w:b/>
          <w:bCs/>
          <w:sz w:val="22"/>
          <w:szCs w:val="22"/>
        </w:rPr>
        <w:t>.2018.</w:t>
      </w:r>
      <w:r>
        <w:rPr>
          <w:sz w:val="22"/>
          <w:szCs w:val="22"/>
        </w:rPr>
        <w:t xml:space="preserve">godine do kraja dana. Ponuda mora sadržavati najmanje: </w:t>
      </w:r>
    </w:p>
    <w:p w:rsidR="00A721F4" w:rsidRDefault="00A721F4" w:rsidP="00A721F4">
      <w:pPr>
        <w:pStyle w:val="Default"/>
        <w:spacing w:after="56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„Ponudbeni list“ (Prilog 1</w:t>
      </w:r>
      <w:r>
        <w:rPr>
          <w:sz w:val="22"/>
          <w:szCs w:val="22"/>
        </w:rPr>
        <w:t xml:space="preserve">) - popunjen, potpisan od strane osobe po zakonu ovlaštene za </w:t>
      </w:r>
    </w:p>
    <w:p w:rsidR="00A721F4" w:rsidRDefault="00A721F4" w:rsidP="00A721F4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zastupanje gospodarskog subjekta, ovjeren žigom, nakon toga skeniran i spremljen u .pdf for-matu. </w:t>
      </w:r>
    </w:p>
    <w:p w:rsidR="00A721F4" w:rsidRDefault="00A721F4" w:rsidP="00A721F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„Izjavu o nepostojanju obaveznih razloga za isključenje Ponuditelja“ (Prilog 2) </w:t>
      </w:r>
      <w:r>
        <w:rPr>
          <w:sz w:val="22"/>
          <w:szCs w:val="22"/>
        </w:rPr>
        <w:t>- popunjena, potpisana od strane osobe po zakonu ovlaštene za zastupanje gospodarskog subjekta, ovjerena žigom, nakon toga skenirana i spremljena u .pdf formatu</w:t>
      </w:r>
      <w:r w:rsidR="00227911">
        <w:rPr>
          <w:sz w:val="22"/>
          <w:szCs w:val="22"/>
        </w:rPr>
        <w:t>.</w:t>
      </w:r>
    </w:p>
    <w:p w:rsidR="00FD4B0C" w:rsidRDefault="00FD4B0C" w:rsidP="00A721F4">
      <w:pPr>
        <w:pStyle w:val="Default"/>
        <w:rPr>
          <w:sz w:val="22"/>
          <w:szCs w:val="22"/>
        </w:rPr>
      </w:pPr>
    </w:p>
    <w:p w:rsidR="00227911" w:rsidRDefault="00227911" w:rsidP="00227911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4"/>
          <w:szCs w:val="24"/>
          <w:lang w:eastAsia="en-US"/>
        </w:rPr>
      </w:pPr>
    </w:p>
    <w:p w:rsidR="00227911" w:rsidRPr="002737E2" w:rsidRDefault="00227911" w:rsidP="00227911">
      <w:pPr>
        <w:autoSpaceDE w:val="0"/>
        <w:autoSpaceDN w:val="0"/>
        <w:adjustRightInd w:val="0"/>
        <w:spacing w:after="56"/>
        <w:rPr>
          <w:rFonts w:ascii="Calibri" w:eastAsiaTheme="minorHAnsi" w:hAnsi="Calibri" w:cs="Calibri"/>
          <w:b w:val="0"/>
          <w:i w:val="0"/>
          <w:sz w:val="22"/>
          <w:szCs w:val="22"/>
          <w:lang w:eastAsia="en-US"/>
        </w:rPr>
      </w:pPr>
      <w:r w:rsidRPr="002737E2">
        <w:rPr>
          <w:rFonts w:ascii="Calibri" w:eastAsiaTheme="minorHAnsi" w:hAnsi="Calibri" w:cs="Calibri"/>
          <w:bCs/>
          <w:i w:val="0"/>
          <w:sz w:val="22"/>
          <w:szCs w:val="22"/>
          <w:lang w:eastAsia="en-US"/>
        </w:rPr>
        <w:lastRenderedPageBreak/>
        <w:t xml:space="preserve">„Izjavu o ispunjenju uvjeta kvalifikacija Ponuditelja“ (Prilog 3) </w:t>
      </w:r>
      <w:r w:rsidRPr="002737E2">
        <w:rPr>
          <w:rFonts w:ascii="Calibri" w:eastAsiaTheme="minorHAnsi" w:hAnsi="Calibri" w:cs="Calibri"/>
          <w:b w:val="0"/>
          <w:i w:val="0"/>
          <w:sz w:val="22"/>
          <w:szCs w:val="22"/>
          <w:lang w:eastAsia="en-US"/>
        </w:rPr>
        <w:t>- popunjena, potpisana od strane osobe po zakonu ovlaštene za zastupanje gospodarskog subjekta, ovjerena žigom, nakon toga skenirana i spremljena u .pdf formatu,</w:t>
      </w:r>
      <w:r w:rsidR="002737E2">
        <w:rPr>
          <w:rFonts w:ascii="Calibri" w:eastAsiaTheme="minorHAnsi" w:hAnsi="Calibri" w:cs="Calibri"/>
          <w:b w:val="0"/>
          <w:i w:val="0"/>
          <w:sz w:val="22"/>
          <w:szCs w:val="22"/>
          <w:lang w:eastAsia="en-US"/>
        </w:rPr>
        <w:t>.</w:t>
      </w:r>
    </w:p>
    <w:p w:rsidR="00227911" w:rsidRPr="00227911" w:rsidRDefault="00227911" w:rsidP="00227911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27911">
        <w:rPr>
          <w:rFonts w:eastAsiaTheme="minorHAnsi"/>
          <w:b w:val="0"/>
          <w:i w:val="0"/>
          <w:color w:val="000000"/>
          <w:sz w:val="22"/>
          <w:szCs w:val="22"/>
          <w:lang w:eastAsia="en-US"/>
        </w:rPr>
        <w:t xml:space="preserve">• </w:t>
      </w:r>
      <w:r w:rsidRPr="00227911">
        <w:rPr>
          <w:rFonts w:ascii="Calibri" w:eastAsiaTheme="minorHAnsi" w:hAnsi="Calibri" w:cs="Calibri"/>
          <w:bCs/>
          <w:i w:val="0"/>
          <w:color w:val="000000"/>
          <w:sz w:val="22"/>
          <w:szCs w:val="22"/>
          <w:lang w:eastAsia="en-US"/>
        </w:rPr>
        <w:t xml:space="preserve">„Troškovnik“ (Prilog 4) </w:t>
      </w:r>
      <w:r w:rsidRPr="00227911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- popunjen, potpisan od strane osobe po zakonu ovlaštene za zastupanje gospodarskog subjekta, ovjeren žigom, nakon toga skeniran i spremljen u .pdf formatu </w:t>
      </w:r>
    </w:p>
    <w:p w:rsidR="00227911" w:rsidRPr="00227911" w:rsidRDefault="00227911" w:rsidP="00227911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27911" w:rsidRPr="00227911" w:rsidRDefault="00227911" w:rsidP="00227911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lang w:eastAsia="en-US"/>
        </w:rPr>
      </w:pPr>
      <w:r w:rsidRPr="00227911">
        <w:rPr>
          <w:rFonts w:ascii="Calibri" w:eastAsiaTheme="minorHAnsi" w:hAnsi="Calibri" w:cs="Calibri"/>
          <w:bCs/>
          <w:i w:val="0"/>
          <w:color w:val="000000"/>
          <w:lang w:eastAsia="en-US"/>
        </w:rPr>
        <w:t xml:space="preserve">4. Dodatne informacije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3467"/>
      </w:tblGrid>
      <w:tr w:rsidR="00227911" w:rsidRPr="00227911" w:rsidTr="00414CE5">
        <w:trPr>
          <w:trHeight w:val="124"/>
        </w:trPr>
        <w:tc>
          <w:tcPr>
            <w:tcW w:w="3467" w:type="dxa"/>
          </w:tcPr>
          <w:p w:rsidR="00227911" w:rsidRPr="00227911" w:rsidRDefault="00227911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227911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 xml:space="preserve">Ime i prezime </w:t>
            </w:r>
          </w:p>
        </w:tc>
        <w:tc>
          <w:tcPr>
            <w:tcW w:w="3467" w:type="dxa"/>
          </w:tcPr>
          <w:p w:rsidR="00227911" w:rsidRPr="00227911" w:rsidRDefault="005215E9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i w:val="0"/>
                <w:color w:val="000000"/>
                <w:sz w:val="23"/>
                <w:szCs w:val="23"/>
                <w:lang w:eastAsia="en-US"/>
              </w:rPr>
              <w:t>Sebastijan Božić</w:t>
            </w:r>
          </w:p>
        </w:tc>
      </w:tr>
      <w:tr w:rsidR="00227911" w:rsidRPr="00227911" w:rsidTr="00414CE5">
        <w:trPr>
          <w:trHeight w:val="124"/>
        </w:trPr>
        <w:tc>
          <w:tcPr>
            <w:tcW w:w="3467" w:type="dxa"/>
          </w:tcPr>
          <w:p w:rsidR="00227911" w:rsidRPr="00227911" w:rsidRDefault="00227911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227911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 xml:space="preserve">Funkcija u </w:t>
            </w:r>
            <w:r w:rsidR="005215E9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>Ferotehna</w:t>
            </w:r>
            <w:r w:rsidRPr="00227911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 xml:space="preserve"> d.o.o. </w:t>
            </w:r>
          </w:p>
        </w:tc>
        <w:tc>
          <w:tcPr>
            <w:tcW w:w="3467" w:type="dxa"/>
          </w:tcPr>
          <w:p w:rsidR="00227911" w:rsidRPr="00227911" w:rsidRDefault="005215E9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i w:val="0"/>
                <w:color w:val="000000"/>
                <w:sz w:val="23"/>
                <w:szCs w:val="23"/>
                <w:lang w:eastAsia="en-US"/>
              </w:rPr>
              <w:t>Inženjer razvoja proizvoda</w:t>
            </w:r>
          </w:p>
        </w:tc>
      </w:tr>
      <w:tr w:rsidR="00227911" w:rsidRPr="00227911" w:rsidTr="00414CE5">
        <w:trPr>
          <w:trHeight w:val="124"/>
        </w:trPr>
        <w:tc>
          <w:tcPr>
            <w:tcW w:w="3467" w:type="dxa"/>
          </w:tcPr>
          <w:p w:rsidR="00227911" w:rsidRPr="00227911" w:rsidRDefault="00227911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227911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 xml:space="preserve">Broj telefona </w:t>
            </w:r>
          </w:p>
        </w:tc>
        <w:tc>
          <w:tcPr>
            <w:tcW w:w="3467" w:type="dxa"/>
          </w:tcPr>
          <w:p w:rsidR="00227911" w:rsidRPr="00227911" w:rsidRDefault="00227911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227911">
              <w:rPr>
                <w:rFonts w:ascii="Calibri" w:eastAsiaTheme="minorHAnsi" w:hAnsi="Calibri" w:cs="Calibri"/>
                <w:bCs/>
                <w:i w:val="0"/>
                <w:color w:val="000000"/>
                <w:sz w:val="23"/>
                <w:szCs w:val="23"/>
                <w:lang w:eastAsia="en-US"/>
              </w:rPr>
              <w:t>00 385 5</w:t>
            </w:r>
            <w:r w:rsidR="005215E9">
              <w:rPr>
                <w:rFonts w:ascii="Calibri" w:eastAsiaTheme="minorHAnsi" w:hAnsi="Calibri" w:cs="Calibri"/>
                <w:bCs/>
                <w:i w:val="0"/>
                <w:color w:val="000000"/>
                <w:sz w:val="23"/>
                <w:szCs w:val="23"/>
                <w:lang w:eastAsia="en-US"/>
              </w:rPr>
              <w:t>1 503 122</w:t>
            </w:r>
          </w:p>
        </w:tc>
      </w:tr>
      <w:tr w:rsidR="00227911" w:rsidRPr="00227911" w:rsidTr="00414CE5">
        <w:trPr>
          <w:trHeight w:val="124"/>
        </w:trPr>
        <w:tc>
          <w:tcPr>
            <w:tcW w:w="3467" w:type="dxa"/>
          </w:tcPr>
          <w:p w:rsidR="00227911" w:rsidRPr="00227911" w:rsidRDefault="00227911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227911"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  <w:t xml:space="preserve">Adresa elektroničke pošte </w:t>
            </w:r>
          </w:p>
        </w:tc>
        <w:tc>
          <w:tcPr>
            <w:tcW w:w="3467" w:type="dxa"/>
          </w:tcPr>
          <w:p w:rsidR="00227911" w:rsidRPr="00227911" w:rsidRDefault="00E22C35" w:rsidP="0022791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 w:val="0"/>
                <w:i w:val="0"/>
                <w:color w:val="000000"/>
                <w:sz w:val="23"/>
                <w:szCs w:val="23"/>
                <w:lang w:eastAsia="en-US"/>
              </w:rPr>
            </w:pPr>
            <w:r w:rsidRPr="00323E4F">
              <w:rPr>
                <w:sz w:val="22"/>
                <w:szCs w:val="22"/>
              </w:rPr>
              <w:t>sebastijan.bozic@ferote</w:t>
            </w:r>
            <w:r>
              <w:rPr>
                <w:sz w:val="22"/>
                <w:szCs w:val="22"/>
              </w:rPr>
              <w:t>hna.</w:t>
            </w:r>
            <w:r w:rsidRPr="00323E4F">
              <w:rPr>
                <w:sz w:val="22"/>
                <w:szCs w:val="22"/>
              </w:rPr>
              <w:t>com</w:t>
            </w:r>
          </w:p>
        </w:tc>
      </w:tr>
    </w:tbl>
    <w:p w:rsidR="0087263A" w:rsidRDefault="0087263A">
      <w:pPr>
        <w:rPr>
          <w:b w:val="0"/>
          <w:i w:val="0"/>
          <w:sz w:val="24"/>
          <w:szCs w:val="24"/>
        </w:rPr>
      </w:pPr>
    </w:p>
    <w:p w:rsidR="00541BF0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Sva dokumentacija za nadmetanje je dostupna na internetskoj stranici Europskih strukturnih i</w:t>
      </w: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investicijskih fondova: </w:t>
      </w:r>
      <w:hyperlink r:id="rId7" w:history="1">
        <w:r w:rsidR="0009435F" w:rsidRPr="003737F5">
          <w:rPr>
            <w:rStyle w:val="Hiperveza"/>
            <w:rFonts w:ascii="Calibri" w:eastAsiaTheme="minorHAnsi" w:hAnsi="Calibri" w:cs="Calibri"/>
            <w:b w:val="0"/>
            <w:i w:val="0"/>
            <w:sz w:val="22"/>
            <w:szCs w:val="22"/>
            <w:lang w:eastAsia="en-US"/>
          </w:rPr>
          <w:t>https://strukturnifondovi.hr/nabave-lista/</w:t>
        </w:r>
      </w:hyperlink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Za vrijeme roka za dostavu ponuda gospodarski subjekti mogu zahtijevati dodatne informacije vezane za dokumentaciju za nadmetanje.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Zahtjev s postavljenim pitanjima je pravodoban ako je dostavljen na adresu elektroničke pošte kontakt osobe: </w:t>
      </w:r>
      <w:r w:rsidRPr="00323E4F">
        <w:rPr>
          <w:sz w:val="22"/>
          <w:szCs w:val="22"/>
        </w:rPr>
        <w:t>sebastijan.bozic@ferote</w:t>
      </w:r>
      <w:r>
        <w:rPr>
          <w:sz w:val="22"/>
          <w:szCs w:val="22"/>
        </w:rPr>
        <w:t>hna.</w:t>
      </w:r>
      <w:r w:rsidRPr="00323E4F">
        <w:rPr>
          <w:sz w:val="22"/>
          <w:szCs w:val="22"/>
        </w:rPr>
        <w:t>com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najkasnije tijekom 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šestog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(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6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) dana prije isteka roka za dostavu ponuda.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Pod uvjetom da je zahtjev dostavljen pravodobno, Naručitelj je obvezan odgovor staviti na raspolaganje najkasnije tijekom 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petog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(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5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) dana prije dana u kojem ističe rok za dostavu ponuda.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Ako iz bilo kojeg razloga pojašnjenje nije objavljeno najkasnije tijekom 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petog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(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5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) dana prije isteka roka za dostavu ponuda, Naručitelj je dužan produljiti rok za dostavu ponuda. Produljenje roka biti će razmjerno važnosti pojašnjenja te neće biti kraće od 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pet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(</w:t>
      </w:r>
      <w:r w:rsidR="008D4F6B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5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) dana.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Ako Naručitelj za vrijeme roka za dostavu ponuda mijenja dokumentaciju, osigurat će dostupnost izmjena svim Ponuditeljima na isti način, te će osigurati da Ponuditelji od nastanka izmjene imaju naj-manje pet (5) dana roka za dostavu ponude. </w:t>
      </w:r>
    </w:p>
    <w:p w:rsid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Kukuljanovo</w:t>
      </w:r>
      <w:proofErr w:type="spellEnd"/>
      <w:r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, </w:t>
      </w:r>
      <w:r w:rsidR="00F37EB1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0</w:t>
      </w:r>
      <w:r w:rsidR="0040059D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9</w:t>
      </w:r>
      <w:bookmarkStart w:id="0" w:name="_GoBack"/>
      <w:bookmarkEnd w:id="0"/>
      <w:r w:rsidR="0009435F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.</w:t>
      </w:r>
      <w:r w:rsidR="00F37EB1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10</w:t>
      </w:r>
      <w:r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.</w:t>
      </w:r>
      <w:r w:rsidR="0009435F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2018.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 </w:t>
      </w:r>
    </w:p>
    <w:p w:rsidR="00282744" w:rsidRPr="00282744" w:rsidRDefault="00282744" w:rsidP="00282744">
      <w:pPr>
        <w:autoSpaceDE w:val="0"/>
        <w:autoSpaceDN w:val="0"/>
        <w:adjustRightInd w:val="0"/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Ivan Katalinić</w:t>
      </w:r>
    </w:p>
    <w:p w:rsidR="00282744" w:rsidRPr="0087263A" w:rsidRDefault="00282744" w:rsidP="00282744">
      <w:pPr>
        <w:rPr>
          <w:b w:val="0"/>
          <w:i w:val="0"/>
          <w:sz w:val="24"/>
          <w:szCs w:val="24"/>
        </w:rPr>
      </w:pPr>
      <w:r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 xml:space="preserve">Ferotehna </w:t>
      </w:r>
      <w:r w:rsidRPr="00282744">
        <w:rPr>
          <w:rFonts w:ascii="Calibri" w:eastAsiaTheme="minorHAnsi" w:hAnsi="Calibri" w:cs="Calibri"/>
          <w:b w:val="0"/>
          <w:i w:val="0"/>
          <w:color w:val="000000"/>
          <w:sz w:val="22"/>
          <w:szCs w:val="22"/>
          <w:lang w:eastAsia="en-US"/>
        </w:rPr>
        <w:t>d.o.o.</w:t>
      </w:r>
    </w:p>
    <w:sectPr w:rsidR="00282744" w:rsidRPr="0087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07D"/>
    <w:multiLevelType w:val="hybridMultilevel"/>
    <w:tmpl w:val="F72CFA90"/>
    <w:lvl w:ilvl="0" w:tplc="7AC2D5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1FAE0"/>
    <w:multiLevelType w:val="hybridMultilevel"/>
    <w:tmpl w:val="029B7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9E562F"/>
    <w:multiLevelType w:val="hybridMultilevel"/>
    <w:tmpl w:val="D8585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65"/>
    <w:rsid w:val="0009435F"/>
    <w:rsid w:val="00181088"/>
    <w:rsid w:val="00227911"/>
    <w:rsid w:val="002737E2"/>
    <w:rsid w:val="00282744"/>
    <w:rsid w:val="00323E4F"/>
    <w:rsid w:val="00327084"/>
    <w:rsid w:val="0040059D"/>
    <w:rsid w:val="00414CE5"/>
    <w:rsid w:val="005215E9"/>
    <w:rsid w:val="00541BF0"/>
    <w:rsid w:val="007A1665"/>
    <w:rsid w:val="00853D4A"/>
    <w:rsid w:val="0087263A"/>
    <w:rsid w:val="008D4F6B"/>
    <w:rsid w:val="00A721F4"/>
    <w:rsid w:val="00D369F3"/>
    <w:rsid w:val="00E22C35"/>
    <w:rsid w:val="00F37EB1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098B"/>
  <w15:chartTrackingRefBased/>
  <w15:docId w15:val="{C5F25AFB-ADCB-485E-9EC6-3D9A11AF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3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D4A"/>
    <w:pPr>
      <w:ind w:left="720"/>
      <w:contextualSpacing/>
    </w:pPr>
  </w:style>
  <w:style w:type="paragraph" w:customStyle="1" w:styleId="Default">
    <w:name w:val="Default"/>
    <w:rsid w:val="00853D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721F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2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rukturnifondovi.hr/nabave-li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FDDC-D880-4261-ACC1-7CFAF3CA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Ferotehna</dc:creator>
  <cp:keywords/>
  <dc:description/>
  <cp:lastModifiedBy>Ferotehna</cp:lastModifiedBy>
  <cp:revision>21</cp:revision>
  <dcterms:created xsi:type="dcterms:W3CDTF">2018-05-08T07:09:00Z</dcterms:created>
  <dcterms:modified xsi:type="dcterms:W3CDTF">2018-10-09T11:04:00Z</dcterms:modified>
</cp:coreProperties>
</file>