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4A" w:rsidRDefault="0062564A" w:rsidP="00D05096">
      <w:pPr>
        <w:jc w:val="center"/>
      </w:pPr>
      <w:bookmarkStart w:id="0" w:name="_Hlk515875074"/>
      <w:bookmarkEnd w:id="0"/>
    </w:p>
    <w:p w:rsid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4A">
        <w:rPr>
          <w:rFonts w:ascii="Times New Roman" w:hAnsi="Times New Roman" w:cs="Times New Roman"/>
          <w:b/>
          <w:sz w:val="28"/>
          <w:szCs w:val="28"/>
        </w:rPr>
        <w:t>DOKUMENTACIJA ZA NADMETANJE</w:t>
      </w: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4A">
        <w:rPr>
          <w:rFonts w:ascii="Times New Roman" w:hAnsi="Times New Roman" w:cs="Times New Roman"/>
          <w:b/>
          <w:sz w:val="28"/>
          <w:szCs w:val="28"/>
        </w:rPr>
        <w:t>za osobe koje nisu obveznici Zakona o javnoj nabavi za provedbu nabave iz</w:t>
      </w: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39">
        <w:rPr>
          <w:rFonts w:ascii="Times New Roman" w:hAnsi="Times New Roman" w:cs="Times New Roman"/>
          <w:b/>
          <w:sz w:val="28"/>
          <w:szCs w:val="28"/>
        </w:rPr>
        <w:t>projekta “Zajedno možemo više!”, kodni broj UP.02.1.1.05.0046</w:t>
      </w:r>
    </w:p>
    <w:p w:rsidR="0062564A" w:rsidRDefault="0062564A" w:rsidP="0062564A">
      <w:pPr>
        <w:spacing w:line="240" w:lineRule="auto"/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NABAVA POTREPŠTINA ZA KUĆANSTVO I OSOBNU HIGIJENU</w:t>
      </w: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ZA KRAJNJE KORISNIKE S NAMJEROM SKLAPANJA UGOVORA O NABAVI</w:t>
      </w: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ROBA S JEDNIM GOSPODARSKIM SUBJEKTOM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 xml:space="preserve">NA RAZDOBLJE </w:t>
      </w:r>
      <w:r w:rsidR="003B300A">
        <w:rPr>
          <w:rFonts w:ascii="Times New Roman" w:hAnsi="Times New Roman" w:cs="Times New Roman"/>
          <w:b/>
          <w:sz w:val="24"/>
          <w:szCs w:val="24"/>
        </w:rPr>
        <w:t>OD 23</w:t>
      </w:r>
      <w:r w:rsidRPr="00973039">
        <w:rPr>
          <w:rFonts w:ascii="Times New Roman" w:hAnsi="Times New Roman" w:cs="Times New Roman"/>
          <w:b/>
          <w:sz w:val="24"/>
          <w:szCs w:val="24"/>
        </w:rPr>
        <w:t xml:space="preserve"> MJESECA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973039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3B300A" w:rsidRPr="00973039">
        <w:rPr>
          <w:rFonts w:ascii="Times New Roman" w:hAnsi="Times New Roman" w:cs="Times New Roman"/>
          <w:b/>
          <w:bCs/>
          <w:sz w:val="24"/>
          <w:szCs w:val="24"/>
        </w:rPr>
        <w:t xml:space="preserve">02/2018  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 xml:space="preserve">Velika, </w:t>
      </w:r>
      <w:r w:rsidR="003B300A">
        <w:rPr>
          <w:rFonts w:ascii="Times New Roman" w:hAnsi="Times New Roman" w:cs="Times New Roman"/>
          <w:b/>
          <w:sz w:val="24"/>
          <w:szCs w:val="24"/>
        </w:rPr>
        <w:t>srpanj</w:t>
      </w:r>
      <w:r w:rsidRPr="0062564A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2564A">
        <w:rPr>
          <w:rFonts w:ascii="Times New Roman" w:hAnsi="Times New Roman" w:cs="Times New Roman"/>
          <w:b/>
          <w:sz w:val="24"/>
          <w:szCs w:val="24"/>
        </w:rPr>
        <w:t>odine</w:t>
      </w:r>
    </w:p>
    <w:p w:rsidR="0062564A" w:rsidRPr="00767836" w:rsidRDefault="0062564A" w:rsidP="00767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84FA4A" wp14:editId="3382BF6D">
            <wp:extent cx="4838700" cy="1847850"/>
            <wp:effectExtent l="0" t="0" r="0" b="0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F2" w:rsidRPr="00F505F2" w:rsidRDefault="00D05096" w:rsidP="009C7ED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i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lastRenderedPageBreak/>
        <w:tab/>
      </w:r>
      <w:r w:rsidR="009C7EDD" w:rsidRPr="00F505F2">
        <w:rPr>
          <w:rFonts w:ascii="Cambria-Bold" w:hAnsi="Cambria-Bold" w:cs="Cambria-Bold"/>
          <w:b/>
          <w:bCs/>
          <w:i/>
          <w:color w:val="000000"/>
        </w:rPr>
        <w:t xml:space="preserve">SADRŽAJ: </w:t>
      </w:r>
    </w:p>
    <w:p w:rsidR="009C7EDD" w:rsidRPr="009C7EDD" w:rsidRDefault="009C7EDD" w:rsidP="009C7EDD">
      <w:pPr>
        <w:autoSpaceDE w:val="0"/>
        <w:autoSpaceDN w:val="0"/>
        <w:adjustRightInd w:val="0"/>
        <w:spacing w:after="0" w:line="240" w:lineRule="auto"/>
        <w:rPr>
          <w:i/>
          <w:noProof/>
        </w:rPr>
      </w:pPr>
      <w:r w:rsidRPr="009C7EDD">
        <w:rPr>
          <w:rFonts w:ascii="Cambria-Bold" w:hAnsi="Cambria-Bold" w:cs="Cambria-Bold"/>
          <w:bCs/>
          <w:i/>
          <w:color w:val="000000"/>
        </w:rPr>
        <w:fldChar w:fldCharType="begin"/>
      </w:r>
      <w:r w:rsidRPr="009C7EDD">
        <w:rPr>
          <w:rFonts w:ascii="Cambria-Bold" w:hAnsi="Cambria-Bold" w:cs="Cambria-Bold"/>
          <w:bCs/>
          <w:i/>
          <w:color w:val="000000"/>
        </w:rPr>
        <w:instrText xml:space="preserve"> TOC \o "1-2" \h \z \u </w:instrText>
      </w:r>
      <w:r w:rsidRPr="009C7EDD">
        <w:rPr>
          <w:rFonts w:ascii="Cambria-Bold" w:hAnsi="Cambria-Bold" w:cs="Cambria-Bold"/>
          <w:bCs/>
          <w:i/>
          <w:color w:val="000000"/>
        </w:rPr>
        <w:fldChar w:fldCharType="separate"/>
      </w:r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15" w:history="1">
        <w:r w:rsidR="009C7EDD" w:rsidRPr="009C7EDD">
          <w:rPr>
            <w:rStyle w:val="Hyperlink"/>
            <w:noProof/>
            <w:sz w:val="22"/>
            <w:szCs w:val="22"/>
          </w:rPr>
          <w:t>1.Opći podaci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_Toc519071915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3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16" w:history="1">
        <w:r w:rsidR="009C7EDD" w:rsidRPr="009C7EDD">
          <w:rPr>
            <w:rStyle w:val="Hyperlink"/>
            <w:noProof/>
            <w:sz w:val="22"/>
            <w:szCs w:val="22"/>
          </w:rPr>
          <w:t>2. Podaci o predmetu nabave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_Toc519071916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4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17" w:history="1">
        <w:r w:rsidR="009C7EDD" w:rsidRPr="009C7EDD">
          <w:rPr>
            <w:rStyle w:val="Hyperlink"/>
            <w:noProof/>
            <w:sz w:val="22"/>
            <w:szCs w:val="22"/>
          </w:rPr>
          <w:t>3. Jezik ponude, rok za dostavu ponuda, otvaranje ponuda rok izvršenja i plaćanje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_Toc519071917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4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18" w:history="1">
        <w:r w:rsidR="009C7EDD" w:rsidRPr="009C7EDD">
          <w:rPr>
            <w:rStyle w:val="Hyperlink"/>
            <w:noProof/>
            <w:sz w:val="22"/>
            <w:szCs w:val="22"/>
          </w:rPr>
          <w:t>4.Rok valjanosti ponude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_Toc519071918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5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19" w:history="1">
        <w:r w:rsidR="009C7EDD" w:rsidRPr="009C7EDD">
          <w:rPr>
            <w:rStyle w:val="Hyperlink"/>
            <w:noProof/>
            <w:sz w:val="22"/>
            <w:szCs w:val="22"/>
          </w:rPr>
          <w:t>5. Uvjeti plaćanja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_Toc519071919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6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0" w:history="1">
        <w:r w:rsidR="009C7EDD" w:rsidRPr="009C7EDD">
          <w:rPr>
            <w:rStyle w:val="Hyperlink"/>
            <w:noProof/>
            <w:sz w:val="22"/>
            <w:szCs w:val="22"/>
          </w:rPr>
          <w:t>6. Uvjeti sposobnosti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_Toc519071920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6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1" w:history="1">
        <w:r w:rsidR="009C7EDD" w:rsidRPr="009C7EDD">
          <w:rPr>
            <w:rStyle w:val="Hyperlink"/>
            <w:noProof/>
            <w:sz w:val="22"/>
            <w:szCs w:val="22"/>
          </w:rPr>
          <w:t>7. Razlozi isključenja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_Toc519071921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6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2" w:history="1">
        <w:r w:rsidR="009C7EDD" w:rsidRPr="009C7EDD">
          <w:rPr>
            <w:rStyle w:val="Hyperlink"/>
            <w:noProof/>
            <w:sz w:val="22"/>
            <w:szCs w:val="22"/>
          </w:rPr>
          <w:t>8. Jamstva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_Toc519071922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7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3" w:history="1">
        <w:r w:rsidR="009C7EDD" w:rsidRPr="009C7EDD">
          <w:rPr>
            <w:rStyle w:val="Hyperlink"/>
            <w:noProof/>
            <w:sz w:val="22"/>
            <w:szCs w:val="22"/>
          </w:rPr>
          <w:t>9. Cijena ponude i kriterij za odabir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_Toc519071923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8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4" w:history="1">
        <w:r w:rsidR="009C7EDD" w:rsidRPr="009C7EDD">
          <w:rPr>
            <w:rStyle w:val="Hyperlink"/>
            <w:noProof/>
            <w:sz w:val="22"/>
            <w:szCs w:val="22"/>
          </w:rPr>
          <w:t>10. Javno otvaranje, Pregled i ocjena ponude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_Toc519071924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9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5" w:history="1">
        <w:r w:rsidR="009C7EDD" w:rsidRPr="009C7EDD">
          <w:rPr>
            <w:rStyle w:val="Hyperlink"/>
            <w:noProof/>
            <w:sz w:val="22"/>
            <w:szCs w:val="22"/>
          </w:rPr>
          <w:t>11. Pojašnjenja i izmjene dokumentacije za nadmetanje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_Toc519071925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9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6" w:history="1">
        <w:r w:rsidR="009C7EDD" w:rsidRPr="009C7EDD">
          <w:rPr>
            <w:rStyle w:val="Hyperlink"/>
            <w:noProof/>
            <w:sz w:val="22"/>
            <w:szCs w:val="22"/>
          </w:rPr>
          <w:t>12. Sadržaj ponude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F06CEB">
          <w:rPr>
            <w:noProof/>
            <w:webHidden/>
            <w:sz w:val="22"/>
            <w:szCs w:val="22"/>
          </w:rPr>
          <w:t>1</w:t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_Toc519071926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0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</w:p>
    <w:p w:rsidR="009C7EDD" w:rsidRPr="009C7EDD" w:rsidRDefault="00BE3BF4">
      <w:pPr>
        <w:pStyle w:val="TOC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19071927" w:history="1">
        <w:r w:rsidR="009C7EDD" w:rsidRPr="009C7EDD">
          <w:rPr>
            <w:rStyle w:val="Hyperlink"/>
            <w:noProof/>
            <w:sz w:val="22"/>
            <w:szCs w:val="22"/>
          </w:rPr>
          <w:t>13. Navod o zajednici ponuditelja ili podizvoditelju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_Toc519071927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1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  <w:r w:rsidR="00E84557">
        <w:rPr>
          <w:noProof/>
          <w:sz w:val="22"/>
          <w:szCs w:val="22"/>
        </w:rPr>
        <w:t>0</w:t>
      </w:r>
    </w:p>
    <w:p w:rsidR="009C7EDD" w:rsidRDefault="00BE3BF4">
      <w:pPr>
        <w:pStyle w:val="TOC1"/>
        <w:tabs>
          <w:tab w:val="right" w:leader="dot" w:pos="9062"/>
        </w:tabs>
        <w:rPr>
          <w:noProof/>
          <w:sz w:val="22"/>
          <w:szCs w:val="22"/>
        </w:rPr>
      </w:pPr>
      <w:hyperlink w:anchor="_Toc519071928" w:history="1">
        <w:r w:rsidR="009C7EDD" w:rsidRPr="009C7EDD">
          <w:rPr>
            <w:rStyle w:val="Hyperlink"/>
            <w:noProof/>
            <w:sz w:val="22"/>
            <w:szCs w:val="22"/>
          </w:rPr>
          <w:t>14. Podnošenje predstavke</w:t>
        </w:r>
        <w:r w:rsidR="009C7EDD" w:rsidRPr="009C7EDD">
          <w:rPr>
            <w:noProof/>
            <w:webHidden/>
            <w:sz w:val="22"/>
            <w:szCs w:val="22"/>
          </w:rPr>
          <w:tab/>
        </w:r>
        <w:r w:rsidR="009C7EDD" w:rsidRPr="009C7EDD">
          <w:rPr>
            <w:noProof/>
            <w:webHidden/>
            <w:sz w:val="22"/>
            <w:szCs w:val="22"/>
          </w:rPr>
          <w:fldChar w:fldCharType="begin"/>
        </w:r>
        <w:r w:rsidR="009C7EDD" w:rsidRPr="009C7EDD">
          <w:rPr>
            <w:noProof/>
            <w:webHidden/>
            <w:sz w:val="22"/>
            <w:szCs w:val="22"/>
          </w:rPr>
          <w:instrText xml:space="preserve"> PAGEREF _Toc519071928 \h </w:instrText>
        </w:r>
        <w:r w:rsidR="009C7EDD" w:rsidRPr="009C7EDD">
          <w:rPr>
            <w:noProof/>
            <w:webHidden/>
            <w:sz w:val="22"/>
            <w:szCs w:val="22"/>
          </w:rPr>
        </w:r>
        <w:r w:rsidR="009C7EDD" w:rsidRPr="009C7EDD">
          <w:rPr>
            <w:noProof/>
            <w:webHidden/>
            <w:sz w:val="22"/>
            <w:szCs w:val="22"/>
          </w:rPr>
          <w:fldChar w:fldCharType="separate"/>
        </w:r>
        <w:r w:rsidR="00E84557">
          <w:rPr>
            <w:noProof/>
            <w:webHidden/>
            <w:sz w:val="22"/>
            <w:szCs w:val="22"/>
          </w:rPr>
          <w:t>1</w:t>
        </w:r>
        <w:r w:rsidR="009C7EDD" w:rsidRPr="009C7EDD">
          <w:rPr>
            <w:noProof/>
            <w:webHidden/>
            <w:sz w:val="22"/>
            <w:szCs w:val="22"/>
          </w:rPr>
          <w:fldChar w:fldCharType="end"/>
        </w:r>
      </w:hyperlink>
      <w:r w:rsidR="00F06CEB">
        <w:rPr>
          <w:noProof/>
          <w:sz w:val="22"/>
          <w:szCs w:val="22"/>
        </w:rPr>
        <w:t>1</w:t>
      </w:r>
    </w:p>
    <w:p w:rsidR="008837CE" w:rsidRDefault="008837CE" w:rsidP="008837CE"/>
    <w:p w:rsidR="008837CE" w:rsidRDefault="008837CE" w:rsidP="008837CE"/>
    <w:p w:rsidR="008837CE" w:rsidRDefault="008837CE" w:rsidP="008837CE"/>
    <w:p w:rsidR="008837CE" w:rsidRDefault="008837CE" w:rsidP="008837CE"/>
    <w:p w:rsidR="008837CE" w:rsidRDefault="008837CE" w:rsidP="008837CE"/>
    <w:p w:rsidR="008837CE" w:rsidRDefault="008837CE" w:rsidP="008837CE"/>
    <w:p w:rsidR="008837CE" w:rsidRDefault="008837CE" w:rsidP="008837CE"/>
    <w:p w:rsidR="008837CE" w:rsidRPr="008837CE" w:rsidRDefault="008837CE" w:rsidP="008837CE"/>
    <w:p w:rsidR="00D05096" w:rsidRPr="00E84557" w:rsidRDefault="009C7EDD" w:rsidP="008837C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</w:rPr>
      </w:pPr>
      <w:r w:rsidRPr="009C7EDD">
        <w:rPr>
          <w:rFonts w:ascii="Cambria-Bold" w:hAnsi="Cambria-Bold" w:cs="Cambria-Bold"/>
          <w:b/>
          <w:bCs/>
          <w:color w:val="000000"/>
        </w:rPr>
        <w:fldChar w:fldCharType="end"/>
      </w:r>
      <w:r w:rsidR="00D05096">
        <w:rPr>
          <w:rFonts w:ascii="Cambria-Bold" w:hAnsi="Cambria-Bold" w:cs="Cambria-Bold"/>
          <w:b/>
          <w:bCs/>
          <w:color w:val="000000"/>
        </w:rPr>
        <w:tab/>
      </w:r>
      <w:r w:rsidR="00D05096">
        <w:rPr>
          <w:rFonts w:ascii="Cambria-Bold" w:hAnsi="Cambria-Bold" w:cs="Cambria-Bold"/>
          <w:b/>
          <w:bCs/>
          <w:color w:val="000000"/>
        </w:rPr>
        <w:tab/>
      </w:r>
      <w:r w:rsidR="00D05096">
        <w:rPr>
          <w:rFonts w:ascii="Cambria-Bold" w:hAnsi="Cambria-Bold" w:cs="Cambria-Bold"/>
          <w:b/>
          <w:bCs/>
          <w:color w:val="000000"/>
        </w:rPr>
        <w:tab/>
      </w:r>
      <w:r w:rsidR="008837CE">
        <w:rPr>
          <w:noProof/>
          <w:lang w:eastAsia="hr-HR"/>
        </w:rPr>
        <w:drawing>
          <wp:inline distT="0" distB="0" distL="0" distR="0" wp14:anchorId="5862DEC7" wp14:editId="64095EB8">
            <wp:extent cx="4838700" cy="1847850"/>
            <wp:effectExtent l="0" t="0" r="0" b="0"/>
            <wp:docPr id="1" name="Slika 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BF0">
        <w:rPr>
          <w:rFonts w:ascii="Cambria-Bold" w:hAnsi="Cambria-Bold" w:cs="Cambria-Bold"/>
          <w:b/>
          <w:bCs/>
          <w:color w:val="000000"/>
        </w:rPr>
        <w:br w:type="page"/>
      </w:r>
      <w:r w:rsidR="00D05096" w:rsidRPr="00973039"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Evidencijski broj nabave 02</w:t>
      </w:r>
      <w:r w:rsidR="00313055" w:rsidRPr="00973039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D05096" w:rsidRPr="00562851" w:rsidRDefault="00D05096" w:rsidP="00D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05096" w:rsidRPr="00562851" w:rsidRDefault="00D05096" w:rsidP="00D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62851" w:rsidRDefault="00313055" w:rsidP="00C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DOKUMENTACIJA ZA NADMETANJE</w:t>
      </w:r>
    </w:p>
    <w:p w:rsidR="00562851" w:rsidRDefault="00562851" w:rsidP="00C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851" w:rsidRDefault="00562851" w:rsidP="0056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FE" w:rsidRDefault="00562851" w:rsidP="00C32BF0">
      <w:pPr>
        <w:pStyle w:val="Heading1"/>
      </w:pPr>
      <w:bookmarkStart w:id="1" w:name="_Toc519071915"/>
      <w:r>
        <w:t>1.</w:t>
      </w:r>
      <w:r w:rsidR="008219FE">
        <w:t>Opći podaci</w:t>
      </w:r>
      <w:bookmarkEnd w:id="1"/>
    </w:p>
    <w:p w:rsidR="008219FE" w:rsidRDefault="008219FE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8219FE" w:rsidRDefault="00562851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FE">
        <w:rPr>
          <w:rFonts w:ascii="Times New Roman" w:hAnsi="Times New Roman" w:cs="Times New Roman"/>
          <w:i/>
          <w:color w:val="000000"/>
          <w:sz w:val="24"/>
          <w:szCs w:val="24"/>
        </w:rPr>
        <w:t>Podaci o naručitelju (NOJN)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Ime podnositelja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Udruga „Veličanka“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Ulica: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Trg bana Josipa Jelačića 36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Grad/naselje: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  <w:t>34330 Velika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Država: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OIB: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39106927231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Internet adresa: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ab/>
        <w:t>www.velika.hr</w:t>
      </w:r>
    </w:p>
    <w:p w:rsidR="00313055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Naziv projekta: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edno možemo više!</w:t>
      </w:r>
    </w:p>
    <w:p w:rsidR="00D05096" w:rsidRDefault="00D05096" w:rsidP="003130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13055" w:rsidRPr="00767836" w:rsidRDefault="00313055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Naziv projekta: Zajedno možemo više!</w:t>
      </w:r>
    </w:p>
    <w:p w:rsidR="00313055" w:rsidRPr="00767836" w:rsidRDefault="00313055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Očekivano trajanje: 30 mjeseci</w:t>
      </w:r>
    </w:p>
    <w:p w:rsidR="00313055" w:rsidRPr="00767836" w:rsidRDefault="00767836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Broj poziva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UP.02.1.1.05.</w:t>
      </w:r>
    </w:p>
    <w:p w:rsidR="008219FE" w:rsidRDefault="00313055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Broj Ugovora: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UP.02.1.1.05.0046</w:t>
      </w:r>
    </w:p>
    <w:p w:rsidR="008219FE" w:rsidRDefault="008219FE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8219FE" w:rsidRDefault="00313055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FE">
        <w:rPr>
          <w:rFonts w:ascii="Times New Roman" w:hAnsi="Times New Roman" w:cs="Times New Roman"/>
          <w:i/>
          <w:color w:val="000000"/>
          <w:sz w:val="24"/>
          <w:szCs w:val="24"/>
        </w:rPr>
        <w:t>Osoba zadužena za komunikaciju s gospodarskim subjektima</w:t>
      </w:r>
    </w:p>
    <w:p w:rsidR="00D05096" w:rsidRPr="00562851" w:rsidRDefault="00D05096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406"/>
      </w:tblGrid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406" w:type="dxa"/>
          </w:tcPr>
          <w:p w:rsidR="00D05096" w:rsidRPr="00F06CEB" w:rsidRDefault="00DC2422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Blažević </w:t>
            </w:r>
          </w:p>
        </w:tc>
      </w:tr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Telefon/Faks:</w:t>
            </w:r>
          </w:p>
        </w:tc>
        <w:tc>
          <w:tcPr>
            <w:tcW w:w="4406" w:type="dxa"/>
          </w:tcPr>
          <w:p w:rsidR="00D05096" w:rsidRPr="00F06CEB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 w:rsidR="00DC2422"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097/794-0543</w:t>
            </w:r>
          </w:p>
        </w:tc>
      </w:tr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4406" w:type="dxa"/>
          </w:tcPr>
          <w:p w:rsidR="00D05096" w:rsidRPr="00F06CEB" w:rsidRDefault="00F06CEB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C2422"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elicanka.velika</w:t>
            </w:r>
            <w:r w:rsidR="00D05096" w:rsidRPr="00F0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</w:tbl>
    <w:p w:rsidR="00562851" w:rsidRDefault="0056285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Sve informacije vezane uz postupak nabave, Ponuditelji mogu dobiti isključivo od navedene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kontakt osobe. Cjelokupna komunikacija i razmjena informacija se vodi u pisanoj formi, putem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elektroničke pošte osobe zadužene za komunikaciju s gospodarskim subjektima.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57" w:rsidRDefault="00E84557" w:rsidP="00E8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Javni poziv bit će objavljen na web stranici www.strukturnifondovi.hr </w:t>
      </w:r>
      <w:r w:rsidR="0097512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hyperlink r:id="rId9" w:history="1">
        <w:r w:rsidR="0097512E" w:rsidRPr="00D53769">
          <w:rPr>
            <w:rStyle w:val="Hyperlink"/>
            <w:rFonts w:ascii="Times New Roman" w:hAnsi="Times New Roman" w:cs="Times New Roman"/>
            <w:sz w:val="24"/>
            <w:szCs w:val="24"/>
          </w:rPr>
          <w:t>www.velika.hr</w:t>
        </w:r>
      </w:hyperlink>
      <w:r w:rsidR="00975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dana. </w:t>
      </w:r>
    </w:p>
    <w:p w:rsidR="00E84557" w:rsidRPr="00767836" w:rsidRDefault="00E84557" w:rsidP="00E8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Rok za postavljanje dodatnih pitanja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15.07.2018., a odgovori na sva postavljena pitanja bit će objavljeni tokom 16.07.2018. Javno otvaranje ponuda je 20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8705A7">
        <w:rPr>
          <w:rFonts w:ascii="Times New Roman" w:hAnsi="Times New Roman" w:cs="Times New Roman"/>
          <w:sz w:val="24"/>
          <w:szCs w:val="24"/>
        </w:rPr>
        <w:t xml:space="preserve">.2018. </w:t>
      </w:r>
      <w:r>
        <w:rPr>
          <w:rFonts w:ascii="Times New Roman" w:hAnsi="Times New Roman" w:cs="Times New Roman"/>
          <w:sz w:val="24"/>
          <w:szCs w:val="24"/>
        </w:rPr>
        <w:t>u 08</w:t>
      </w:r>
      <w:r w:rsidRPr="008705A7">
        <w:rPr>
          <w:rFonts w:ascii="Times New Roman" w:hAnsi="Times New Roman" w:cs="Times New Roman"/>
          <w:sz w:val="24"/>
          <w:szCs w:val="24"/>
        </w:rPr>
        <w:t xml:space="preserve">:00 sati. Pojašnjenja će biti objavljena </w:t>
      </w:r>
      <w:r>
        <w:rPr>
          <w:rFonts w:ascii="Times New Roman" w:hAnsi="Times New Roman" w:cs="Times New Roman"/>
          <w:sz w:val="24"/>
          <w:szCs w:val="24"/>
        </w:rPr>
        <w:t>16.07</w:t>
      </w:r>
      <w:r w:rsidRPr="00870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8705A7">
        <w:rPr>
          <w:rFonts w:ascii="Times New Roman" w:hAnsi="Times New Roman" w:cs="Times New Roman"/>
          <w:sz w:val="24"/>
          <w:szCs w:val="24"/>
        </w:rPr>
        <w:t xml:space="preserve"> (Sva zakašnjela pitanja neće se uzimati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obzir niti će naručitelj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 njih odgovarati).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2E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može zatražiti pojašnjenje ili upotpunjavanje odnosno uklanjanje pogreške,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nedostataka ili nejasnoće koje Naručitelj smatra otklonjivima u primjerenom roku, a koji rok 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može biti kraći od pet kalendarskih dana.</w:t>
      </w:r>
    </w:p>
    <w:p w:rsidR="00E84557" w:rsidRDefault="00767836" w:rsidP="00E8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AC5E15" wp14:editId="1EA23761">
            <wp:extent cx="4838700" cy="1000125"/>
            <wp:effectExtent l="0" t="0" r="0" b="9525"/>
            <wp:docPr id="4" name="Slika 4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055" w:rsidRPr="00767836" w:rsidRDefault="00313055" w:rsidP="00E8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Tijekom roka za dostavu ponuda, Naručitelj može iz bilo kojeg razloga izvršiti izmjene/dopune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dokumentacije za nadmetanje. Eventualne izmjene/dopune dokumentacije za nadmetanje biti će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stavljene na raspolaganje putem internetske stranice gdje je objavljena i izvorna dokumentacija.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Svi ponuditelji se upućuju da redovito prate objave na stranici </w:t>
      </w:r>
      <w:r w:rsidR="00D05096" w:rsidRPr="00767836">
        <w:rPr>
          <w:rFonts w:ascii="Times New Roman" w:hAnsi="Times New Roman" w:cs="Times New Roman"/>
          <w:color w:val="0000FF"/>
          <w:sz w:val="24"/>
          <w:szCs w:val="24"/>
        </w:rPr>
        <w:t>www.strukturnifondovi.hr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te na stranici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Udruge Veličanka </w:t>
      </w:r>
      <w:r w:rsidRPr="00767836">
        <w:rPr>
          <w:rFonts w:ascii="Times New Roman" w:hAnsi="Times New Roman" w:cs="Times New Roman"/>
          <w:color w:val="0000FF"/>
          <w:sz w:val="24"/>
          <w:szCs w:val="24"/>
        </w:rPr>
        <w:t xml:space="preserve">www.velika.hr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te naručitelj ne snosi nikakvu odgovornost ukoliko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ponuditelji nisu pravovremeno preuzeli pojašnjenja i izmjene/dopune dokumentacije za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="00D05096" w:rsidRPr="00767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 dokumentacija u ovom postupku može se dostaviti u neovjerenoj preslici, s time da prilikom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analize ponuda, naručitelj može zatražiti od najpovoljnijeg ponuditelja original dokumente 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uvid.</w:t>
      </w:r>
    </w:p>
    <w:p w:rsidR="008219FE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55" w:rsidRPr="00767836" w:rsidRDefault="008219FE" w:rsidP="00C32BF0">
      <w:pPr>
        <w:pStyle w:val="Heading1"/>
      </w:pPr>
      <w:bookmarkStart w:id="2" w:name="_Toc519071916"/>
      <w:r>
        <w:t xml:space="preserve">2. </w:t>
      </w:r>
      <w:r w:rsidR="00313055" w:rsidRPr="00767836">
        <w:t>Podaci o predmetu nabave</w:t>
      </w:r>
      <w:bookmarkEnd w:id="2"/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Nabava potrepština za kućanstvo i osobnu higijenu za krajnje korisnike sukladno Troškovniku (Prilog 3.) koji je sastavni dio dokumentacije za nadmetanje.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nije podijeljen u grupe, te je Ponuditelj u obvezi ponuditi cjelokupan predmet nabave, odnosno ponuda mora sadržavati sve stavke Troškovnika (Prilog 3.). 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Procijenjena v</w:t>
      </w:r>
      <w:r w:rsidR="00C625CD">
        <w:rPr>
          <w:rFonts w:ascii="Times New Roman" w:hAnsi="Times New Roman" w:cs="Times New Roman"/>
          <w:color w:val="000000"/>
          <w:sz w:val="24"/>
          <w:szCs w:val="24"/>
        </w:rPr>
        <w:t>rijednost nabave je 1.0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68.000,00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kn s PDV-om.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9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b/>
          <w:sz w:val="24"/>
          <w:szCs w:val="24"/>
        </w:rPr>
        <w:t xml:space="preserve">Vrsta postupka nabave: Javno nadmetanje za </w:t>
      </w:r>
      <w:r w:rsidR="00E654A4" w:rsidRPr="00973039">
        <w:rPr>
          <w:rFonts w:ascii="Times New Roman" w:hAnsi="Times New Roman" w:cs="Times New Roman"/>
          <w:b/>
          <w:sz w:val="24"/>
          <w:szCs w:val="24"/>
        </w:rPr>
        <w:t>robe</w:t>
      </w:r>
      <w:r w:rsidRPr="009730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0260" w:rsidRPr="00973039">
        <w:rPr>
          <w:rFonts w:ascii="Times New Roman" w:hAnsi="Times New Roman" w:cs="Times New Roman"/>
          <w:b/>
          <w:sz w:val="24"/>
          <w:szCs w:val="24"/>
        </w:rPr>
        <w:t>izbor ponuditelja na temelju najboljeg omjera cijene i kvalitete</w:t>
      </w:r>
    </w:p>
    <w:p w:rsidR="00F06CEB" w:rsidRPr="00973039" w:rsidRDefault="00F06CEB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55" w:rsidRPr="00767836" w:rsidRDefault="00313055" w:rsidP="00F3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Navod o sukobu interesa: Ne postoje gospodarski subjekti s kojima je naručitelj u sukobu</w:t>
      </w:r>
    </w:p>
    <w:p w:rsidR="00313055" w:rsidRPr="00767836" w:rsidRDefault="00C00A26" w:rsidP="00F3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nteresa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8219FE" w:rsidP="00C32BF0">
      <w:pPr>
        <w:pStyle w:val="Heading1"/>
      </w:pPr>
      <w:bookmarkStart w:id="3" w:name="_Toc519071917"/>
      <w:r>
        <w:t>3</w:t>
      </w:r>
      <w:r w:rsidR="00313055" w:rsidRPr="00767836">
        <w:t>. Jezik ponude, rok za dostavu ponuda, otvaranje ponuda rok izvršenja i plaćanje</w:t>
      </w:r>
      <w:bookmarkEnd w:id="3"/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sa svim traženim prilozima podnosi se u jednom primjerku, na hrvatskom jeziku i 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latiničnom pismu.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dostave nekog od dokumenata na drugom jeziku, isti dokument mora biti dostavljen uz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priloženi prijevod na hrvatski jezik od ovlaštenog prevoditelja-sudskog tumača.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mora biti uvezana u nerazdvojivu cjelinu, na način da se onemogući naknadno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vađenje/umetanje listova. Dokumente koji se ne smiju oštetiti potrebno je staviti u prozirnu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foliju prije uveza ponude. Stranice ponude moraju se označiti rednim brojevima i to redni broj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stranice i ukupan broj stranica (npr. 1/25)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25B0522" wp14:editId="68E0C49D">
            <wp:simplePos x="0" y="0"/>
            <wp:positionH relativeFrom="column">
              <wp:posOffset>222250</wp:posOffset>
            </wp:positionH>
            <wp:positionV relativeFrom="paragraph">
              <wp:posOffset>17780</wp:posOffset>
            </wp:positionV>
            <wp:extent cx="4841240" cy="1009650"/>
            <wp:effectExtent l="0" t="0" r="0" b="0"/>
            <wp:wrapNone/>
            <wp:docPr id="10" name="Slika 10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Ponuda mora biti dostavljena osobno ili poštom najkasnije </w:t>
      </w:r>
      <w:r w:rsidR="00E84557">
        <w:rPr>
          <w:rFonts w:ascii="Times New Roman" w:hAnsi="Times New Roman" w:cs="Times New Roman"/>
          <w:color w:val="000000"/>
          <w:sz w:val="24"/>
          <w:szCs w:val="24"/>
        </w:rPr>
        <w:t>do dana 20.07</w:t>
      </w:r>
      <w:r w:rsidR="00F618BD" w:rsidRPr="00F618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8BD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>. godine do</w:t>
      </w:r>
      <w:r w:rsidR="00767836" w:rsidRPr="00F61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557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>,00 sati (bez obzira na način dostave) na adresu Naručitelja: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Udruga „Veličanka“, Trg bana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Josipa Jelačića 36, 34330 Velika.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dostavljena nakon isteka roka za dostavu ponuda evidentira se kao zakašnjela ponuda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te se bez odgode, neotvorena vraća Pošiljatelju.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slučaju slanja ponuda poštom, na omotnici je potrebno navesti: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515875089"/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naručitelja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Nabava u okviru projekta: Zajedno možemo više!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ponuditelja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Naznaka »Ne otvaraj«</w:t>
      </w:r>
    </w:p>
    <w:bookmarkEnd w:id="4"/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UZORCI: </w:t>
      </w:r>
    </w:p>
    <w:p w:rsidR="00C733DD" w:rsidRDefault="008A7CF6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CEB">
        <w:rPr>
          <w:rFonts w:ascii="Times New Roman" w:hAnsi="Times New Roman" w:cs="Times New Roman"/>
          <w:color w:val="000000"/>
          <w:sz w:val="24"/>
          <w:szCs w:val="24"/>
        </w:rPr>
        <w:t xml:space="preserve">Uzorci se ne dostavljaju, ponuditelj je obvezan u sklopu ponude dostaviti dvije fotografije svakog proizvoda (prednju i stražnju stranu) iz koje je vidljivo vrsta proizvoda i količina pakiranja. </w:t>
      </w:r>
      <w:r w:rsidR="00DC2422" w:rsidRPr="00F06CEB">
        <w:rPr>
          <w:rFonts w:ascii="Times New Roman" w:hAnsi="Times New Roman" w:cs="Times New Roman"/>
          <w:color w:val="000000"/>
          <w:sz w:val="24"/>
          <w:szCs w:val="24"/>
        </w:rPr>
        <w:t>Nedostavljanjem fotografija uzoraka, ponuda će se smatrati nepotpuna te se neće analizirati. Fotografije proizvoda potrebno je dostaviti u color tisku.</w:t>
      </w:r>
      <w:r w:rsidR="00DC2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3DD" w:rsidRP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8219FE" w:rsidP="00C32BF0">
      <w:pPr>
        <w:pStyle w:val="Heading1"/>
      </w:pPr>
      <w:bookmarkStart w:id="5" w:name="_Toc519071918"/>
      <w:r>
        <w:t>4.</w:t>
      </w:r>
      <w:r w:rsidR="00313055" w:rsidRPr="00767836">
        <w:t>Rok valjanosti ponude</w:t>
      </w:r>
      <w:bookmarkEnd w:id="5"/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Valjanost ponude mora biti minimalno 30 kalendarskih dana od dana isteka roka za dostavu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ponuda. Naručitelj može zatražiti od Ponuditelja primjereno produženje roka valjanosti ponude.</w:t>
      </w:r>
    </w:p>
    <w:p w:rsidR="00C00A26" w:rsidRPr="0076783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Rok izvršenja:</w:t>
      </w:r>
    </w:p>
    <w:p w:rsidR="00C733DD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Ponuditelj </w:t>
      </w:r>
      <w:r w:rsidR="00E654A4" w:rsidRPr="00973039">
        <w:rPr>
          <w:rFonts w:ascii="Times New Roman" w:hAnsi="Times New Roman" w:cs="Times New Roman"/>
          <w:color w:val="000000"/>
          <w:sz w:val="24"/>
          <w:szCs w:val="24"/>
        </w:rPr>
        <w:t>se obvezuje izdavati robu iz troškovnika prema izdanim narudž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654A4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nicama naručitelja. Naručitelj će robu naručivati narudžbenicom i slati je elektroničkom poštom izabranom ponuditelju. Ponuditelj je u obvezi u roku </w:t>
      </w:r>
      <w:r w:rsidR="00060260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koji navede u ugovoru i izjavi dostavljati na adrese (Kaptol, Velika, Kutjevo, Brestovac, Jakšić i Čaglin) koje odredi naručitelj na narudžbenici. </w:t>
      </w: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260" w:rsidRPr="00973039" w:rsidRDefault="00C00A26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Adresa za dostavu je jedna od adresa sjedišta Općine/grada. Roba se dostavlja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260" w:rsidRPr="00973039">
        <w:rPr>
          <w:rFonts w:ascii="Times New Roman" w:hAnsi="Times New Roman" w:cs="Times New Roman"/>
          <w:color w:val="000000"/>
          <w:sz w:val="24"/>
          <w:szCs w:val="24"/>
        </w:rPr>
        <w:t>radnim danom od ponedjeljka do petka u razdoblju od 08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>:00-14:00 sati. Pril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ikom izdavanja robe, ponuditelj 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za svako dostavno mjesto izdaje otpremnicu. Dostava robe je minimalno </w:t>
      </w:r>
      <w:r w:rsidR="00973039" w:rsidRPr="0097303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puta mjesečno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maksimalno </w:t>
      </w:r>
      <w:r w:rsidR="00973039" w:rsidRPr="009730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 puta mjesečno. </w:t>
      </w:r>
    </w:p>
    <w:p w:rsidR="00A8639A" w:rsidRDefault="00A8639A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13184" behindDoc="0" locked="0" layoutInCell="1" allowOverlap="1" wp14:anchorId="57470246" wp14:editId="5A2F1C95">
            <wp:simplePos x="0" y="0"/>
            <wp:positionH relativeFrom="column">
              <wp:posOffset>462280</wp:posOffset>
            </wp:positionH>
            <wp:positionV relativeFrom="paragraph">
              <wp:posOffset>24765</wp:posOffset>
            </wp:positionV>
            <wp:extent cx="4841240" cy="1025525"/>
            <wp:effectExtent l="0" t="0" r="0" b="3175"/>
            <wp:wrapNone/>
            <wp:docPr id="6" name="Slika 6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F06CEB" w:rsidRDefault="00F06CEB" w:rsidP="00C32BF0">
      <w:pPr>
        <w:pStyle w:val="Heading1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6" w:name="_Toc519071919"/>
    </w:p>
    <w:p w:rsidR="00313055" w:rsidRPr="00767836" w:rsidRDefault="008219FE" w:rsidP="00C32BF0">
      <w:pPr>
        <w:pStyle w:val="Heading1"/>
      </w:pPr>
      <w:r>
        <w:t>5. Uvjeti plaćanja</w:t>
      </w:r>
      <w:bookmarkEnd w:id="6"/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Definirati će se s ponuditeljem s kojim se potpiše Ugovor. Avansno plaćanje i plaćanje prije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izvršene cjelokupne usluge nije dozvoljeno.</w:t>
      </w:r>
    </w:p>
    <w:p w:rsidR="008A7CF6" w:rsidRDefault="008A7CF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8219FE" w:rsidP="00C32BF0">
      <w:pPr>
        <w:pStyle w:val="Heading1"/>
      </w:pPr>
      <w:bookmarkStart w:id="7" w:name="_Toc519071920"/>
      <w:r>
        <w:t>6</w:t>
      </w:r>
      <w:r w:rsidR="00313055" w:rsidRPr="00767836">
        <w:t>. Uvjeti sposobnosti</w:t>
      </w:r>
      <w:bookmarkEnd w:id="7"/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a) Dokaz financijske sposobnosti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potvrdu Porezne uprave ili druge relevantne institucije o nepostojanju duga prema RH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koja ne smije biti starija od 30 dana računajući od dana početka postupka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>, odnosno od dana objave natječajne dokumentacije na stranicama www.strukturnifondovi.hr i www.velika.hr.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dokaz da ponuditelj nije bio u blokadi u posljednjih 6 mjeseci - BON2/SOL ne stariji od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30 dana od dana objave ovog postupka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>, odnosno od dana objave natječajne dokumentacije na stranicama www.strukturnifondovi.hr i www.velika.hr.</w:t>
      </w:r>
      <w:r w:rsidR="00EA646F">
        <w:rPr>
          <w:rFonts w:ascii="Times New Roman" w:hAnsi="Times New Roman" w:cs="Times New Roman"/>
          <w:color w:val="000000"/>
          <w:sz w:val="24"/>
          <w:szCs w:val="24"/>
        </w:rPr>
        <w:t xml:space="preserve"> Naručitelj će prihvatiti i uplatu sredstava na račun naručitelja HR1823300031100399777 u iznosu od 3% od procijenjene vrijednosti.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b) Dokaz tehničke i stručne sposobnosti</w:t>
      </w:r>
    </w:p>
    <w:p w:rsidR="00313055" w:rsidRPr="00973039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 xml:space="preserve">Dostavno vozilo koje mora glasiti na tvrtku/obrt 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039">
        <w:rPr>
          <w:rFonts w:ascii="Times New Roman" w:hAnsi="Times New Roman" w:cs="Times New Roman"/>
          <w:i/>
          <w:iCs/>
          <w:sz w:val="24"/>
          <w:szCs w:val="24"/>
        </w:rPr>
        <w:t>c) Dokaz pravne i poslovne sposobnosti</w:t>
      </w: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• Izvadak iz Sudskog/obrtnog ili drugog registra ne stariji od 60 dana od dana objave ovog</w:t>
      </w:r>
    </w:p>
    <w:p w:rsidR="00313055" w:rsidRPr="00767836" w:rsidRDefault="00313055" w:rsidP="00A8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 xml:space="preserve">postupka komim može dokazati da je registriran za poslove </w:t>
      </w:r>
      <w:r w:rsidR="00A8639A" w:rsidRPr="00973039">
        <w:rPr>
          <w:rFonts w:ascii="Times New Roman" w:hAnsi="Times New Roman" w:cs="Times New Roman"/>
          <w:sz w:val="24"/>
          <w:szCs w:val="24"/>
        </w:rPr>
        <w:t>trgovine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8219FE" w:rsidP="00C32BF0">
      <w:pPr>
        <w:pStyle w:val="Heading1"/>
      </w:pPr>
      <w:bookmarkStart w:id="8" w:name="_Toc519071921"/>
      <w:r>
        <w:t>7</w:t>
      </w:r>
      <w:r w:rsidR="00313055" w:rsidRPr="00767836">
        <w:t>. Razlozi isključenja</w:t>
      </w:r>
      <w:bookmarkEnd w:id="8"/>
    </w:p>
    <w:p w:rsidR="003C7A79" w:rsidRPr="00767836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Gospodarski subjekt bit će isključen iz postupka ukoliko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on ili osoba ovlaštena za njegovo zakonsko zastupanje pravomoćno osuđena za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kazneno djelo sudjelovanja u zločinačkoj organizaciji, korupciji, prijevari, terorizmu,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financiranju terorizma, pranju novca, dječjeg rada ili drugih oblika trgovanja ljudima.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nije ispunio obaveze plaćanja dospjelih poreznih obveza i obveza za mirovinsko 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zdravstveno osiguranje, osim ako mu prema posebnom zakonu plaćanje tih obveza nije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dopušteno ili je odobrena odgoda plaćanja</w:t>
      </w:r>
    </w:p>
    <w:p w:rsidR="00EA646F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lažno predstavio ili pružio neistinite podatke u vezi s uvjetima koje je Naručitelj naveo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kao razloge 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>za isključenje ili uvjete kvalifikacije</w:t>
      </w:r>
    </w:p>
    <w:p w:rsidR="0007591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u stečaju, insolventan ili u postupku likvidacije, ako njegovom imovinom upravlja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stečajni upravitelj ili sud, ako je u nagodbi s vjerovnicima, ako je obustavio poslovne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14" w:rsidRPr="00767836">
        <w:rPr>
          <w:rFonts w:ascii="Times New Roman" w:hAnsi="Times New Roman" w:cs="Times New Roman"/>
          <w:color w:val="000000"/>
          <w:sz w:val="24"/>
          <w:szCs w:val="24"/>
        </w:rPr>
        <w:t>aktivnosti ili je u bilo kakvoj istovrsnoj situaciji koja proizlazi iz sličnog postupka prema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14" w:rsidRPr="00767836">
        <w:rPr>
          <w:rFonts w:ascii="Times New Roman" w:hAnsi="Times New Roman" w:cs="Times New Roman"/>
          <w:color w:val="000000"/>
          <w:sz w:val="24"/>
          <w:szCs w:val="24"/>
        </w:rPr>
        <w:t>nacionalnim zakonima i propisima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CEB" w:rsidRDefault="00F06CEB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CEB" w:rsidRDefault="00F06CEB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CEB" w:rsidRDefault="00F06CEB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19328" behindDoc="0" locked="0" layoutInCell="1" allowOverlap="1" wp14:anchorId="5D528202" wp14:editId="41526476">
            <wp:simplePos x="0" y="0"/>
            <wp:positionH relativeFrom="column">
              <wp:posOffset>240030</wp:posOffset>
            </wp:positionH>
            <wp:positionV relativeFrom="paragraph">
              <wp:posOffset>6350</wp:posOffset>
            </wp:positionV>
            <wp:extent cx="4841240" cy="1001395"/>
            <wp:effectExtent l="0" t="0" r="0" b="8255"/>
            <wp:wrapNone/>
            <wp:docPr id="7" name="Slika 7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u posljednje dvije godine do početka postupka nabave učinio težak profesionalni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propust koji Naručitelj može dokazati na bilo koji način</w:t>
      </w:r>
    </w:p>
    <w:p w:rsidR="003C7A79" w:rsidRPr="0007591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MS Gothic" w:eastAsia="MS Gothic" w:hAnsi="MS Gothic" w:cs="MS Gothic" w:hint="eastAsia"/>
          <w:sz w:val="24"/>
          <w:szCs w:val="24"/>
        </w:rPr>
        <w:t>✓</w:t>
      </w:r>
      <w:r w:rsidRPr="0097303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:rsidR="00973039" w:rsidRDefault="003C7A79" w:rsidP="003C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Ako nije registriran za djelatnost koja je predmet ove nabave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039" w:rsidRDefault="00973039" w:rsidP="00973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Ako ne dostavi </w:t>
      </w:r>
      <w:r w:rsidR="00DC2422">
        <w:rPr>
          <w:rFonts w:ascii="Times New Roman" w:hAnsi="Times New Roman" w:cs="Times New Roman"/>
          <w:color w:val="000000"/>
          <w:sz w:val="24"/>
          <w:szCs w:val="24"/>
        </w:rPr>
        <w:t xml:space="preserve">fotografije </w:t>
      </w:r>
      <w:r>
        <w:rPr>
          <w:rFonts w:ascii="Times New Roman" w:hAnsi="Times New Roman" w:cs="Times New Roman"/>
          <w:color w:val="000000"/>
          <w:sz w:val="24"/>
          <w:szCs w:val="24"/>
        </w:rPr>
        <w:t>uzor</w:t>
      </w:r>
      <w:r w:rsidR="00DC242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C242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06C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ako uzorci ne odgovar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ju traženom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CF6" w:rsidRDefault="008A7CF6" w:rsidP="008A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Nepostojanje raz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>loga za isključivanje iz točke 7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. ove Dokumentacije za nadmetanje ponuditelj će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dokazati potpisanom izjavom koju dostavlja s ponudom u skladu s </w:t>
      </w:r>
      <w:r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Prilogom </w:t>
      </w:r>
      <w:r w:rsidR="00542564" w:rsidRPr="009730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Dokumentacije za nadmetanje.</w:t>
      </w:r>
    </w:p>
    <w:p w:rsidR="00DF622D" w:rsidRPr="00767836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može u bilo kojem trenutku tijekom postupka nabave, zahtijevati od ponuditelja da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prije sklapanja ugovora dostavi jedan ili više dokumenata koji potvrđuju da se ponuditelj ne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nalazi u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 xml:space="preserve"> situacijama navedenim u točki 7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. ukoliko se takvi dokumenti izdaju u zemlji sjedišta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gospodarskog subjekta te ih on može ishoditi. U slučaju ako se oni ne izdaju u državi sjedišta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ponuditelja, ponuditelj može dostaviti izjavu s ovjerom potpisa kod nadležnog tijela. U slučaju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zajednice ponuditelja, Naručitelj može tražiti od svih članova zajednice da pojedinačno dokažu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nepostojanje razloga isključenja. U slučaju dostave nekog od dokaza na stanom jeziku, isti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dokument mora biti dostavljen uz priloženi prijevod na hrvatski jezik.</w:t>
      </w:r>
    </w:p>
    <w:p w:rsidR="003C7A79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8219FE" w:rsidP="00C32BF0">
      <w:pPr>
        <w:pStyle w:val="Heading1"/>
      </w:pPr>
      <w:bookmarkStart w:id="9" w:name="_Toc519071922"/>
      <w:r>
        <w:t>8</w:t>
      </w:r>
      <w:r w:rsidR="00313055" w:rsidRPr="00767836">
        <w:t>. Jamstva</w:t>
      </w:r>
      <w:bookmarkEnd w:id="9"/>
    </w:p>
    <w:p w:rsidR="003C7A79" w:rsidRPr="00767836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ponude.</w:t>
      </w:r>
    </w:p>
    <w:p w:rsidR="00313055" w:rsidRPr="00767836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jamči da će ukoliko bude odabran kao najpovoljniji ponuditelj pristupiti potpisu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ugovora. Jamstvo u slučaju nepotpisivanja ugovora Naručitelj će aktivirati po isteku roka 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pozivu za potpis ugovora.</w:t>
      </w:r>
    </w:p>
    <w:p w:rsidR="00313055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 daje se u obliku bjanko zadužnice izražen u apsolutnom iznosu 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visini 3% vrijednost ponude ( npr. Ako ponuditelj dostavi ponudu </w:t>
      </w:r>
      <w:r w:rsidRPr="00973039">
        <w:rPr>
          <w:rFonts w:ascii="Times New Roman" w:hAnsi="Times New Roman" w:cs="Times New Roman"/>
          <w:sz w:val="24"/>
          <w:szCs w:val="24"/>
        </w:rPr>
        <w:t>s cijenom od 350.000,00 kn s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PDV-om iznos na zadužnici ne smije biti manji od 10.500,00 kn).</w:t>
      </w:r>
    </w:p>
    <w:p w:rsidR="009B321A" w:rsidRPr="00767836" w:rsidRDefault="009B321A" w:rsidP="009B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Naručitelj će prihvatiti i uplatu sredstava na račun naručitelja HR1823300031100399777 u iznosu od 3% od procijenjene vrijednosti.</w:t>
      </w:r>
    </w:p>
    <w:p w:rsidR="009B321A" w:rsidRPr="00973039" w:rsidRDefault="009B321A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014" w:rsidRPr="000E5014" w:rsidRDefault="000E5014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</w:t>
      </w:r>
    </w:p>
    <w:p w:rsidR="00F06CEB" w:rsidRPr="00767836" w:rsidRDefault="00F06CEB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 dostavlja samo odabrani ponuditelj.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 dat će izbrani ponuditelj u roku od 8 dana od dana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potpisa ugovora u obliku bjanko zadužnice, a u vrijednosti minimalno 10% ugovorenih usluga</w:t>
      </w:r>
    </w:p>
    <w:p w:rsidR="000E5014" w:rsidRPr="00EA646F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29568" behindDoc="0" locked="0" layoutInCell="1" allowOverlap="1" wp14:anchorId="780C5F59" wp14:editId="0DB2D677">
            <wp:simplePos x="0" y="0"/>
            <wp:positionH relativeFrom="column">
              <wp:posOffset>48260</wp:posOffset>
            </wp:positionH>
            <wp:positionV relativeFrom="paragraph">
              <wp:posOffset>796925</wp:posOffset>
            </wp:positionV>
            <wp:extent cx="4841875" cy="1168400"/>
            <wp:effectExtent l="0" t="0" r="0" b="0"/>
            <wp:wrapNone/>
            <wp:docPr id="11" name="Slika 1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8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3055" w:rsidRPr="00973039">
        <w:rPr>
          <w:rFonts w:ascii="Times New Roman" w:hAnsi="Times New Roman" w:cs="Times New Roman"/>
          <w:sz w:val="24"/>
          <w:szCs w:val="24"/>
        </w:rPr>
        <w:t>bez PDV-a.</w:t>
      </w:r>
    </w:p>
    <w:p w:rsidR="00DF622D" w:rsidRDefault="00DF622D" w:rsidP="00C32BF0">
      <w:pPr>
        <w:pStyle w:val="Heading1"/>
      </w:pPr>
      <w:bookmarkStart w:id="10" w:name="_Toc519071923"/>
    </w:p>
    <w:p w:rsidR="00DF622D" w:rsidRDefault="00DF622D" w:rsidP="00C32BF0">
      <w:pPr>
        <w:pStyle w:val="Heading1"/>
      </w:pPr>
    </w:p>
    <w:p w:rsidR="00DF622D" w:rsidRDefault="00DF622D" w:rsidP="00DF622D"/>
    <w:p w:rsidR="00DF622D" w:rsidRPr="00DF622D" w:rsidRDefault="00DF622D" w:rsidP="00DF622D"/>
    <w:p w:rsidR="00313055" w:rsidRDefault="000E5014" w:rsidP="00C32BF0">
      <w:pPr>
        <w:pStyle w:val="Heading1"/>
      </w:pPr>
      <w:r>
        <w:lastRenderedPageBreak/>
        <w:t>9</w:t>
      </w:r>
      <w:r w:rsidR="00313055" w:rsidRPr="00767836">
        <w:t>. Cijena ponude i kriterij za odabir</w:t>
      </w:r>
      <w:bookmarkEnd w:id="10"/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izražava cijenu ponude u kunama (HRK). Cijena ponude piše se brojkama. U cijenu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ponude bez poreza na dodanu vrijednost moraju biti uračunati svi troškovi i popusti. Cijena je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nepromijenjena tijekom trajanja cijelog ugovora.</w:t>
      </w: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97617A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9761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Kriterij za odabir</w:t>
      </w:r>
      <w:r w:rsidR="00A8639A" w:rsidRPr="009761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 Najbolji omjer cijene i kvalitete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Utvrđivanje vrijednosti ponude: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Svaka ponuda temelji se na dva kriterija. Cjenovni kriterij </w:t>
      </w: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nosi</w:t>
      </w:r>
      <w:r w:rsidR="00602501" w:rsidRPr="00F06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maksimalno</w:t>
      </w: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80 bodova, dok je rok isporuke </w:t>
      </w:r>
      <w:r w:rsidR="00602501" w:rsidRPr="00F06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maksimalno </w:t>
      </w: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bodova.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Ekonomski najpovoljnija ponuda je ona ponuda koja ima najveći broj bodova. Najveći broj bodova je 100.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Ponuda sa najnižom cijenom dobit će 80 bodova dok će ostale ponude dobiti broj bodova sukladno slijedećoj matematičkoj formuli: 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A7CF6" w:rsidRDefault="008A7CF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A8639A" w:rsidRPr="00602501" w:rsidRDefault="0060250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6C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Cijena ponude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cijena najniže ponude x 80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cijena promatrane ponude</m:t>
            </m:r>
          </m:den>
        </m:f>
      </m:oMath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Kriterij za rok isporuke nosi maksimalno 20 bodova 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20 bodova dobit će ponuda u kojoj je naznačen rok isporuke u roku 0-36 sati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10 bodova dobit će ponuda u kojoj je rok isp</w:t>
      </w:r>
      <w:r w:rsidR="0007591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ruke 37 – 72 sata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0 bodova dobit će ponuda u kojoj je rok isporuke </w:t>
      </w: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7</w:t>
      </w:r>
      <w:r w:rsidR="00602501"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3</w:t>
      </w:r>
      <w:r w:rsidR="0097617A"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-96</w:t>
      </w: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sat</w:t>
      </w:r>
      <w:r w:rsidR="0097617A"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i</w:t>
      </w:r>
      <w:r w:rsidR="0097617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602501" w:rsidRDefault="0060250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602501" w:rsidRDefault="0060250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06CE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Ponude u kojima je rok isporuke duži od 96 sati ili nije naznačen rok isporuke ili je rok isporuke dvojben, naručitelj će takvu ponudu odbaciti, odnosno označit će je nepravilnom i neće je razmatrati.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97617A" w:rsidRDefault="0097617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Ukupan broj bodova dobiva se zbrajanjem cjenovnog kriterija i kriterija za rok isporuke. </w:t>
      </w:r>
    </w:p>
    <w:p w:rsidR="009B5721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B5721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bookmarkStart w:id="11" w:name="_Hlk515656043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Naručitelj je odabrao ovaj kriterij iz razloga jer nema vlastito skladište te će robu naručivati narudžbenicom, a ponuditelj se obvezuje robu s narudžbenice dostavljati na jedno od općinskih/gradskih središta, gdje će se roba po otpremnici preuzimati. Za svaki otpremni centar bit će izdana narudžbenica, svaki otpremni centar mora imati otpremnicu. </w:t>
      </w:r>
    </w:p>
    <w:p w:rsidR="009B5721" w:rsidRPr="009136A0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Neispunjavanje ovog kriterija u ugovorenom roku, naručitelj će zaračunati ponuditelju kaznu u iznosu od 3% vrijednosti pošiljke koju je trebao isporučiti. </w:t>
      </w:r>
    </w:p>
    <w:bookmarkEnd w:id="11"/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622D" w:rsidRDefault="00313055" w:rsidP="00DF6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da dvije i više valj</w:t>
      </w:r>
      <w:r w:rsidR="003B300A">
        <w:rPr>
          <w:rFonts w:ascii="Times New Roman" w:hAnsi="Times New Roman" w:cs="Times New Roman"/>
          <w:color w:val="000000"/>
          <w:sz w:val="24"/>
          <w:szCs w:val="24"/>
        </w:rPr>
        <w:t>anih ponuda imaju jednak broj bodova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, naručitelj će izabrati ponudu koja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po redoslijedu zaprimanja zaprimljena prva.</w:t>
      </w:r>
      <w:bookmarkStart w:id="12" w:name="_Toc519071924"/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22D" w:rsidRPr="00DF622D" w:rsidRDefault="00DF622D" w:rsidP="00DF6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38784" behindDoc="0" locked="0" layoutInCell="1" allowOverlap="1" wp14:anchorId="6DB237BD" wp14:editId="69114817">
            <wp:simplePos x="0" y="0"/>
            <wp:positionH relativeFrom="column">
              <wp:posOffset>452755</wp:posOffset>
            </wp:positionH>
            <wp:positionV relativeFrom="paragraph">
              <wp:posOffset>522605</wp:posOffset>
            </wp:positionV>
            <wp:extent cx="4838700" cy="1266825"/>
            <wp:effectExtent l="0" t="0" r="0" b="9525"/>
            <wp:wrapNone/>
            <wp:docPr id="12" name="Slika 1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622D" w:rsidRDefault="00DF622D" w:rsidP="00C32BF0">
      <w:pPr>
        <w:pStyle w:val="Heading1"/>
      </w:pPr>
    </w:p>
    <w:p w:rsidR="00DF622D" w:rsidRDefault="00DF622D" w:rsidP="00DF622D"/>
    <w:p w:rsidR="00DF622D" w:rsidRPr="00DF622D" w:rsidRDefault="00DF622D" w:rsidP="00DF622D"/>
    <w:p w:rsidR="00313055" w:rsidRDefault="000E5014" w:rsidP="00C32BF0">
      <w:pPr>
        <w:pStyle w:val="Heading1"/>
      </w:pPr>
      <w:r>
        <w:lastRenderedPageBreak/>
        <w:t>10</w:t>
      </w:r>
      <w:r w:rsidR="00313055" w:rsidRPr="00767836">
        <w:t>. Javno otvaranje, Pregled i ocjena ponude</w:t>
      </w:r>
      <w:bookmarkEnd w:id="12"/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Za potrebe pregleda i ocjene Ponuda, Naručitelj će formira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ti Odbor za pregled i ocjenu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ponuda.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Sastanak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Odbora za otvaranje ponuda bit će </w:t>
      </w:r>
      <w:r w:rsidRPr="00F618BD">
        <w:rPr>
          <w:rFonts w:ascii="Times New Roman" w:hAnsi="Times New Roman" w:cs="Times New Roman"/>
          <w:b/>
          <w:bCs/>
          <w:sz w:val="24"/>
          <w:szCs w:val="24"/>
        </w:rPr>
        <w:t xml:space="preserve">održan </w:t>
      </w:r>
      <w:r w:rsidR="00E84557">
        <w:rPr>
          <w:rFonts w:ascii="Times New Roman" w:hAnsi="Times New Roman" w:cs="Times New Roman"/>
          <w:b/>
          <w:bCs/>
          <w:sz w:val="24"/>
          <w:szCs w:val="24"/>
        </w:rPr>
        <w:t>20.07</w:t>
      </w:r>
      <w:r w:rsidR="00F618BD" w:rsidRPr="00F618BD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F61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18BD" w:rsidRPr="00F6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557">
        <w:rPr>
          <w:rFonts w:ascii="Times New Roman" w:hAnsi="Times New Roman" w:cs="Times New Roman"/>
          <w:b/>
          <w:bCs/>
          <w:sz w:val="24"/>
          <w:szCs w:val="24"/>
        </w:rPr>
        <w:t>u 08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h, na adresi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Naručitelja,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kada će se sastaviti Zapisnik o otvaranju ponuda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Javnom otvaranju ponuda mogu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prisustvovati svi ovlašteni predstavnici ponuditelja koje predaju ponudu, isključivo uz pisano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ovlaštenje i osobni identifikacijski dokument (npr. Osobna iskaznica).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u skladu s uvjetima i zahtjevima iz dokumentacije za nadmetanje slijedećim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redoslijedom provjerava i odbija ponudu: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koja nije cjelovita,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ponudu koja je suprotna odredbama iz dokumentacije,</w:t>
      </w:r>
    </w:p>
    <w:p w:rsidR="00075914" w:rsidRDefault="00313055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ponudu u kojoj cijena nije iskazana u apsolutnom iznosu,</w:t>
      </w:r>
    </w:p>
    <w:p w:rsidR="00313055" w:rsidRPr="00C733DD" w:rsidRDefault="00075914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ponudu koja sadrži pogreške, nedostatke odnosno ne</w:t>
      </w:r>
      <w:r w:rsidR="000E5014"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jasnoće ako pogreške, nedostaci 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0E5014"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nejasnoće nisu uklonjive ili nisu otklonjene u roku,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Nakon pregleda i ocjene ponuda iz prethodnih točaka valjane ponude rangiraju se prema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kriteriju za odabir ponude. Ponuda koja ispunjava sve uvjete, a najpovoljnija je sukladno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kriterijima odabira iz ove Dokumentacije za nadmetanje smatrat će se najboljom ponudom.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će sastaviti Zapisnik sa sastanka za ocjenu ponuda te će sve ponuditelje obavijestiti 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konačnom odabiru i to slanjem informacije u obliku Odluke o odabiru ili informacije o Odluci 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neprihvaćanju neuspješnim ponuditeljima.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da niti jedna ponuda ili niti jedna prihvatljiva ponuda ne bude podnesena, Naručitelj će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poništiti postupak javne nabave u kojem će slučaju objaviti obavijest o otkazivanju natječaja na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internetskim stanicama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gdje je objavljena osnovna dokumentacija.</w:t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0E5014" w:rsidP="00C32BF0">
      <w:pPr>
        <w:pStyle w:val="Heading1"/>
      </w:pPr>
      <w:bookmarkStart w:id="13" w:name="_Toc519071925"/>
      <w:r>
        <w:t>11</w:t>
      </w:r>
      <w:r w:rsidR="00313055" w:rsidRPr="00767836">
        <w:t>. Pojašnjenja i izmjene dokumentacije za nadmetanje</w:t>
      </w:r>
      <w:bookmarkEnd w:id="13"/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može zatražiti pojašnjenje ili upotpunjavanje odnosno uklanjanje pogreške,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nedostataka ili nejasnoće koje Naručitelj smatra otklonjivima u primjerenom roku, a koji rok ne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može biti kraći od pet kalendarskih dana.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 komunikacija u ovom dijelu postupka odvija se elektronskim putem.</w:t>
      </w:r>
    </w:p>
    <w:p w:rsidR="00DF622D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koji ne otkloni nedostatak, odnosno ne odgovori naručitelju u roku ili ne dostavi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zadovoljavajući odgovor bit će eliminiran iz daljnjeg postupka ocjenjivanja ponuda, odnosno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njegova će se ponuda odbaciti i proglasiti kao netočna/nepotpuna.</w:t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22D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22D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2032" behindDoc="1" locked="0" layoutInCell="1" allowOverlap="1" wp14:anchorId="4C732BD5" wp14:editId="7965733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48387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ight>
            <wp:docPr id="9" name="Slika 9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3"/>
                    <a:stretch/>
                  </pic:blipFill>
                  <pic:spPr bwMode="auto">
                    <a:xfrm>
                      <a:off x="0" y="0"/>
                      <a:ext cx="4838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622D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22D" w:rsidRDefault="00DF622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22D" w:rsidRDefault="00DF622D" w:rsidP="00C32BF0">
      <w:pPr>
        <w:pStyle w:val="Heading1"/>
      </w:pPr>
      <w:bookmarkStart w:id="14" w:name="_Toc519071926"/>
    </w:p>
    <w:p w:rsidR="00313055" w:rsidRDefault="000E5014" w:rsidP="00C32BF0">
      <w:pPr>
        <w:pStyle w:val="Heading1"/>
      </w:pPr>
      <w:r>
        <w:t>12</w:t>
      </w:r>
      <w:r w:rsidR="00313055" w:rsidRPr="00767836">
        <w:t>. Sadržaj ponude</w:t>
      </w:r>
      <w:bookmarkEnd w:id="14"/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 xml:space="preserve"> mora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sadržavati: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1. Popunjen i potpisan i ovjeren pečatom ponudbeni list (Prilog 1 Dokumentacije za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</w:p>
    <w:p w:rsidR="0054256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2. Popunjen, potpisan i ovjeren pečatom obrazac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 Izjave </w:t>
      </w:r>
      <w:r w:rsidR="00542564" w:rsidRPr="00767836">
        <w:rPr>
          <w:rFonts w:ascii="Times New Roman" w:hAnsi="Times New Roman" w:cs="Times New Roman"/>
          <w:color w:val="000000"/>
          <w:sz w:val="24"/>
          <w:szCs w:val="24"/>
        </w:rPr>
        <w:t>koji dokazuje da ne postoje obvezni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 razlozi isključenja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(Prilog 2 Dokumentacije za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E5014" w:rsidRP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501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3. Popunjen, potpisan i ovjeren pečatom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Prilog 3 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4. Popunjen, potpisan 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>prijedlog ugovora-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Prilog 4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84DED" w:rsidRPr="00B8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DED" w:rsidRPr="00767836">
        <w:rPr>
          <w:rFonts w:ascii="Times New Roman" w:hAnsi="Times New Roman" w:cs="Times New Roman"/>
          <w:color w:val="000000"/>
          <w:sz w:val="24"/>
          <w:szCs w:val="24"/>
        </w:rPr>
        <w:t>Popunjen, potpisan i ovjeren pečatom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– Prilog 5</w:t>
      </w:r>
    </w:p>
    <w:p w:rsidR="00671243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DED" w:rsidRPr="00767836">
        <w:rPr>
          <w:rFonts w:ascii="Times New Roman" w:hAnsi="Times New Roman" w:cs="Times New Roman"/>
          <w:color w:val="000000"/>
          <w:sz w:val="24"/>
          <w:szCs w:val="24"/>
        </w:rPr>
        <w:t>Popunjen, potpisan i ovjeren pečatom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Prilog 6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Izvadak iz sudskog, obrtnog, strukovnog ili drugog odgovarajućeg registra ponuditelja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Potvrdu Porezne uprave ili druge relevantne institucije o stanju duga koja ne smije biti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starija od 30 dana računajući od dana početka postupka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</w:t>
      </w:r>
    </w:p>
    <w:p w:rsidR="00313055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BON2/SOL</w:t>
      </w:r>
      <w:r w:rsidR="009B321A">
        <w:rPr>
          <w:rFonts w:ascii="Times New Roman" w:hAnsi="Times New Roman" w:cs="Times New Roman"/>
          <w:color w:val="000000"/>
          <w:sz w:val="24"/>
          <w:szCs w:val="24"/>
        </w:rPr>
        <w:t>/uplata sredstava na račun naručitelja</w:t>
      </w:r>
    </w:p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CE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8A7CF6" w:rsidRPr="00F06CEB">
        <w:rPr>
          <w:rFonts w:ascii="Times New Roman" w:hAnsi="Times New Roman" w:cs="Times New Roman"/>
          <w:color w:val="000000"/>
          <w:sz w:val="24"/>
          <w:szCs w:val="24"/>
        </w:rPr>
        <w:t>Fotografije uzoraka</w:t>
      </w:r>
      <w:r w:rsidR="0097512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5" w:name="_GoBack"/>
      <w:bookmarkEnd w:id="15"/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CEB" w:rsidRDefault="00491FDD" w:rsidP="00F0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CEB">
        <w:rPr>
          <w:rFonts w:ascii="Times New Roman" w:hAnsi="Times New Roman" w:cs="Times New Roman"/>
          <w:color w:val="000000"/>
          <w:sz w:val="24"/>
          <w:szCs w:val="24"/>
        </w:rPr>
        <w:t>Naručitelj neće razmatrati nepotpune i nepravilne ponude. Upotpunjavanje i pojašnjenje ponuda neće se provoditi. Svaka nepotpuna ili nepravilna ponuda će se odbaciti, odnosno neće se analizirati.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6" w:name="_Toc519071927"/>
    </w:p>
    <w:p w:rsidR="00F06CEB" w:rsidRDefault="00F06CEB" w:rsidP="00F0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CEB" w:rsidRPr="00F06CEB" w:rsidRDefault="00F06CEB" w:rsidP="00F0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B84DED" w:rsidP="00C32BF0">
      <w:pPr>
        <w:pStyle w:val="Heading1"/>
      </w:pPr>
      <w:r>
        <w:t>13</w:t>
      </w:r>
      <w:r w:rsidR="00313055" w:rsidRPr="00973039">
        <w:t>. Navo</w:t>
      </w:r>
      <w:r>
        <w:t>d o zajednici ponuditelja ili p</w:t>
      </w:r>
      <w:r w:rsidR="00313055" w:rsidRPr="00973039">
        <w:t>o</w:t>
      </w:r>
      <w:r>
        <w:t>d</w:t>
      </w:r>
      <w:r w:rsidR="00313055" w:rsidRPr="00973039">
        <w:t>izvoditelju</w:t>
      </w:r>
      <w:bookmarkEnd w:id="16"/>
    </w:p>
    <w:p w:rsidR="00F06CEB" w:rsidRPr="00F06CEB" w:rsidRDefault="00F06CEB" w:rsidP="00F06CEB"/>
    <w:p w:rsidR="00313055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U ovom postupku dozvoljene su zajed</w:t>
      </w:r>
      <w:r w:rsidR="00B84DED">
        <w:rPr>
          <w:rFonts w:ascii="Times New Roman" w:hAnsi="Times New Roman" w:cs="Times New Roman"/>
          <w:sz w:val="24"/>
          <w:szCs w:val="24"/>
        </w:rPr>
        <w:t>ničke ponude ili sudjelovanja p</w:t>
      </w:r>
      <w:r w:rsidRPr="00973039">
        <w:rPr>
          <w:rFonts w:ascii="Times New Roman" w:hAnsi="Times New Roman" w:cs="Times New Roman"/>
          <w:sz w:val="24"/>
          <w:szCs w:val="24"/>
        </w:rPr>
        <w:t>o</w:t>
      </w:r>
      <w:r w:rsidR="00B84DED">
        <w:rPr>
          <w:rFonts w:ascii="Times New Roman" w:hAnsi="Times New Roman" w:cs="Times New Roman"/>
          <w:sz w:val="24"/>
          <w:szCs w:val="24"/>
        </w:rPr>
        <w:t>d</w:t>
      </w:r>
      <w:r w:rsidRPr="00973039">
        <w:rPr>
          <w:rFonts w:ascii="Times New Roman" w:hAnsi="Times New Roman" w:cs="Times New Roman"/>
          <w:sz w:val="24"/>
          <w:szCs w:val="24"/>
        </w:rPr>
        <w:t>izvoditelja, ali je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ograničen broj, odnosno maksimalni broj sudionika u ponudi je 3 (tri).</w:t>
      </w:r>
    </w:p>
    <w:p w:rsidR="008A7CF6" w:rsidRDefault="008A7CF6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Ukoliko ponuditelj samostalno predaje ponudu za cjelokupan projekt, on više u ovom postupku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ne može biti član zajednice ponuditelja niti podizvoditelj drugom ponuditelju. U tom slučaju,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odbacit će se sve ponude u kojima sudjeluje navedeni ponuditelj. Podizvoditelj, odnosno svaki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član zajednice p</w:t>
      </w:r>
      <w:r w:rsidR="00B84DED">
        <w:rPr>
          <w:rFonts w:ascii="Times New Roman" w:hAnsi="Times New Roman" w:cs="Times New Roman"/>
          <w:sz w:val="24"/>
          <w:szCs w:val="24"/>
        </w:rPr>
        <w:t>onuditelja obvezan je iz točke 12</w:t>
      </w:r>
      <w:r w:rsidRPr="00973039">
        <w:rPr>
          <w:rFonts w:ascii="Times New Roman" w:hAnsi="Times New Roman" w:cs="Times New Roman"/>
          <w:sz w:val="24"/>
          <w:szCs w:val="24"/>
        </w:rPr>
        <w:t>. (Sadržaj ponude) ove dokumentacije priložiti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 xml:space="preserve">slijedeće vlastite dokumente pod točkama: </w:t>
      </w:r>
      <w:r w:rsidR="00B84DED">
        <w:rPr>
          <w:rFonts w:ascii="Times New Roman" w:hAnsi="Times New Roman" w:cs="Times New Roman"/>
          <w:b/>
          <w:sz w:val="24"/>
          <w:szCs w:val="24"/>
        </w:rPr>
        <w:t>2, 7, 8</w:t>
      </w:r>
      <w:r w:rsidR="00A8639A" w:rsidRPr="0097303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6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DED">
        <w:rPr>
          <w:rFonts w:ascii="Times New Roman" w:hAnsi="Times New Roman" w:cs="Times New Roman"/>
          <w:b/>
          <w:sz w:val="24"/>
          <w:szCs w:val="24"/>
        </w:rPr>
        <w:t>10</w:t>
      </w:r>
      <w:r w:rsidRPr="00973039">
        <w:rPr>
          <w:rFonts w:ascii="Times New Roman" w:hAnsi="Times New Roman" w:cs="Times New Roman"/>
          <w:b/>
          <w:sz w:val="24"/>
          <w:szCs w:val="24"/>
        </w:rPr>
        <w:t>.</w:t>
      </w:r>
    </w:p>
    <w:p w:rsidR="001F1E11" w:rsidRPr="00973039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F6" w:rsidRDefault="008A7CF6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Zajednica ponuditelja pisanim će dokazom između članova izabrati vodećeg člana zajednice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ponuditelja koji će kao vodeći član potpisati i ovjeriti ponudu. Ukoliko dođe do potpisivanja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ugovora, svaki član zajednice ponuditelja potpisat će ugovor. Članu zajednice ponuditelja, tj.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podizvoditelju plaća se direktno na račun, stoga je bitno navesti koje će poslove i koliku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vrijednost obavljati koji član.</w:t>
      </w:r>
    </w:p>
    <w:p w:rsidR="001F1E11" w:rsidRDefault="00DF622D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7392" behindDoc="0" locked="0" layoutInCell="1" allowOverlap="1" wp14:anchorId="231E662D" wp14:editId="60429194">
            <wp:simplePos x="0" y="0"/>
            <wp:positionH relativeFrom="column">
              <wp:posOffset>233680</wp:posOffset>
            </wp:positionH>
            <wp:positionV relativeFrom="paragraph">
              <wp:posOffset>10795</wp:posOffset>
            </wp:positionV>
            <wp:extent cx="4838700" cy="1247775"/>
            <wp:effectExtent l="0" t="0" r="0" b="9525"/>
            <wp:wrapNone/>
            <wp:docPr id="5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E11" w:rsidRDefault="001F1E11" w:rsidP="0007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F1E11" w:rsidRPr="000E5014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Default="00B84DED" w:rsidP="00C32BF0">
      <w:pPr>
        <w:pStyle w:val="Heading1"/>
      </w:pPr>
      <w:bookmarkStart w:id="17" w:name="_Toc519071928"/>
      <w:r>
        <w:lastRenderedPageBreak/>
        <w:t>14. Podnošenje pre</w:t>
      </w:r>
      <w:r w:rsidR="00313055" w:rsidRPr="00767836">
        <w:t>dstavke</w:t>
      </w:r>
      <w:bookmarkEnd w:id="17"/>
    </w:p>
    <w:p w:rsidR="001F1E11" w:rsidRPr="00767836" w:rsidRDefault="001F1E1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Svaki nezadovoljni ponuditelj može uložiti podstavku ako smatra da je njegova ponuda trebala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biti odabrana kao najbolja, odnosno najpovoljnija, ali nije zbog postupanja naručitelja. Ukoliko je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neopravdano odbije, 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>isključen ponuditelj podnosi pred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stavku u pisanom obliku u roku od 8 dana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od dana primitka odluke o odabiru ili odluke o odbijanju ili odluke o poništenju posredničkom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tijelu, Povjerenstvo za odlučivanje o prigovorima i žalbam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a, Udruga Veličanka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, Trg bana Josipa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DED">
        <w:rPr>
          <w:rFonts w:ascii="Times New Roman" w:hAnsi="Times New Roman" w:cs="Times New Roman"/>
          <w:color w:val="000000"/>
          <w:sz w:val="24"/>
          <w:szCs w:val="24"/>
        </w:rPr>
        <w:t>Jelačića 36, 34330 Velika. Pred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stavka s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e dostavlja na dokaziv način.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Podnositelj predstavke mora</w:t>
      </w:r>
      <w:r w:rsidR="00425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svom dopisu obrazložiti navode. Podnošenje predstavke ne zaustavlja daljnji tijek projekta,</w:t>
      </w:r>
      <w:r w:rsidR="0062564A"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odnosno sklapanje ugovora.</w:t>
      </w: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Pr="00767836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DF622D" w:rsidP="00425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0224" behindDoc="0" locked="0" layoutInCell="1" allowOverlap="1" wp14:anchorId="75566180" wp14:editId="0DE76137">
            <wp:simplePos x="0" y="0"/>
            <wp:positionH relativeFrom="column">
              <wp:posOffset>119380</wp:posOffset>
            </wp:positionH>
            <wp:positionV relativeFrom="paragraph">
              <wp:posOffset>2230755</wp:posOffset>
            </wp:positionV>
            <wp:extent cx="4838700" cy="1847850"/>
            <wp:effectExtent l="0" t="0" r="0" b="0"/>
            <wp:wrapNone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055" w:rsidRPr="00767836" w:rsidSect="00C32BF0"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F4" w:rsidRDefault="00BE3BF4" w:rsidP="0062564A">
      <w:pPr>
        <w:spacing w:after="0" w:line="240" w:lineRule="auto"/>
      </w:pPr>
      <w:r>
        <w:separator/>
      </w:r>
    </w:p>
  </w:endnote>
  <w:endnote w:type="continuationSeparator" w:id="0">
    <w:p w:rsidR="00BE3BF4" w:rsidRDefault="00BE3BF4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572159"/>
      <w:docPartObj>
        <w:docPartGallery w:val="Page Numbers (Bottom of Page)"/>
        <w:docPartUnique/>
      </w:docPartObj>
    </w:sdtPr>
    <w:sdtEndPr/>
    <w:sdtContent>
      <w:p w:rsidR="00C32BF0" w:rsidRDefault="00C32B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2E">
          <w:rPr>
            <w:noProof/>
          </w:rPr>
          <w:t>11</w:t>
        </w:r>
        <w:r>
          <w:fldChar w:fldCharType="end"/>
        </w:r>
      </w:p>
    </w:sdtContent>
  </w:sdt>
  <w:p w:rsidR="0062564A" w:rsidRPr="0062564A" w:rsidRDefault="0062564A" w:rsidP="0062564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F4" w:rsidRDefault="00BE3BF4" w:rsidP="0062564A">
      <w:pPr>
        <w:spacing w:after="0" w:line="240" w:lineRule="auto"/>
      </w:pPr>
      <w:r>
        <w:separator/>
      </w:r>
    </w:p>
  </w:footnote>
  <w:footnote w:type="continuationSeparator" w:id="0">
    <w:p w:rsidR="00BE3BF4" w:rsidRDefault="00BE3BF4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653"/>
    <w:multiLevelType w:val="multilevel"/>
    <w:tmpl w:val="6BF02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D47E2A"/>
    <w:multiLevelType w:val="hybridMultilevel"/>
    <w:tmpl w:val="CBB0A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C24"/>
    <w:multiLevelType w:val="hybridMultilevel"/>
    <w:tmpl w:val="F9C0C656"/>
    <w:lvl w:ilvl="0" w:tplc="A9803E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E"/>
    <w:rsid w:val="000019F9"/>
    <w:rsid w:val="00026DF9"/>
    <w:rsid w:val="00060260"/>
    <w:rsid w:val="00075914"/>
    <w:rsid w:val="0008756B"/>
    <w:rsid w:val="000D7FA2"/>
    <w:rsid w:val="000E5014"/>
    <w:rsid w:val="00123B21"/>
    <w:rsid w:val="001F1E11"/>
    <w:rsid w:val="002178D2"/>
    <w:rsid w:val="00313055"/>
    <w:rsid w:val="00334DF9"/>
    <w:rsid w:val="003A2FA3"/>
    <w:rsid w:val="003B300A"/>
    <w:rsid w:val="003C7A79"/>
    <w:rsid w:val="003D4AD4"/>
    <w:rsid w:val="003E57A2"/>
    <w:rsid w:val="003F4661"/>
    <w:rsid w:val="003F5C5A"/>
    <w:rsid w:val="00425FC7"/>
    <w:rsid w:val="00491FDD"/>
    <w:rsid w:val="004A397E"/>
    <w:rsid w:val="004E0848"/>
    <w:rsid w:val="0052030E"/>
    <w:rsid w:val="00542564"/>
    <w:rsid w:val="00562851"/>
    <w:rsid w:val="00602501"/>
    <w:rsid w:val="0062564A"/>
    <w:rsid w:val="00671243"/>
    <w:rsid w:val="00714BB6"/>
    <w:rsid w:val="00767836"/>
    <w:rsid w:val="008219FE"/>
    <w:rsid w:val="008705A7"/>
    <w:rsid w:val="008837CE"/>
    <w:rsid w:val="008A7CF6"/>
    <w:rsid w:val="009136A0"/>
    <w:rsid w:val="00973039"/>
    <w:rsid w:val="0097512E"/>
    <w:rsid w:val="0097617A"/>
    <w:rsid w:val="00987126"/>
    <w:rsid w:val="009B321A"/>
    <w:rsid w:val="009B5721"/>
    <w:rsid w:val="009C7EDD"/>
    <w:rsid w:val="00A8639A"/>
    <w:rsid w:val="00AF11DB"/>
    <w:rsid w:val="00B472CF"/>
    <w:rsid w:val="00B722B0"/>
    <w:rsid w:val="00B84DED"/>
    <w:rsid w:val="00BB3227"/>
    <w:rsid w:val="00BE3BF4"/>
    <w:rsid w:val="00BF345B"/>
    <w:rsid w:val="00C00A26"/>
    <w:rsid w:val="00C20C54"/>
    <w:rsid w:val="00C32BF0"/>
    <w:rsid w:val="00C625CD"/>
    <w:rsid w:val="00C733DD"/>
    <w:rsid w:val="00C908EB"/>
    <w:rsid w:val="00D03F73"/>
    <w:rsid w:val="00D05096"/>
    <w:rsid w:val="00D17828"/>
    <w:rsid w:val="00D660D8"/>
    <w:rsid w:val="00DC2422"/>
    <w:rsid w:val="00DD14B0"/>
    <w:rsid w:val="00DF622D"/>
    <w:rsid w:val="00E50F96"/>
    <w:rsid w:val="00E654A4"/>
    <w:rsid w:val="00E84557"/>
    <w:rsid w:val="00EA646F"/>
    <w:rsid w:val="00F06CEB"/>
    <w:rsid w:val="00F318E1"/>
    <w:rsid w:val="00F505F2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6BEC0-2CF3-447C-A9B8-04633B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4A"/>
  </w:style>
  <w:style w:type="paragraph" w:styleId="Footer">
    <w:name w:val="footer"/>
    <w:basedOn w:val="Normal"/>
    <w:link w:val="Footer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4A"/>
  </w:style>
  <w:style w:type="paragraph" w:styleId="ListParagraph">
    <w:name w:val="List Paragraph"/>
    <w:basedOn w:val="Normal"/>
    <w:uiPriority w:val="34"/>
    <w:qFormat/>
    <w:rsid w:val="007678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B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2BF0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2BF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C7ED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7ED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C7ED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C7ED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C7ED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C7ED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C7ED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C7EDD"/>
    <w:pPr>
      <w:spacing w:after="0"/>
      <w:ind w:left="1760"/>
    </w:pPr>
    <w:rPr>
      <w:rFonts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C7EDD"/>
    <w:pPr>
      <w:spacing w:line="259" w:lineRule="auto"/>
      <w:outlineLvl w:val="9"/>
    </w:pPr>
    <w:rPr>
      <w:lang w:eastAsia="hr-HR"/>
    </w:rPr>
  </w:style>
  <w:style w:type="character" w:styleId="PlaceholderText">
    <w:name w:val="Placeholder Text"/>
    <w:basedOn w:val="DefaultParagraphFont"/>
    <w:uiPriority w:val="99"/>
    <w:semiHidden/>
    <w:rsid w:val="00602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li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CB0A-FE92-4899-A403-29F67057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3</cp:revision>
  <cp:lastPrinted>2018-07-11T09:59:00Z</cp:lastPrinted>
  <dcterms:created xsi:type="dcterms:W3CDTF">2018-07-11T15:16:00Z</dcterms:created>
  <dcterms:modified xsi:type="dcterms:W3CDTF">2018-07-11T15:20:00Z</dcterms:modified>
</cp:coreProperties>
</file>