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3F" w:rsidRDefault="00420C5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6512D9" w:rsidRPr="003A433F" w:rsidRDefault="006512D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512D9">
        <w:rPr>
          <w:b/>
          <w:sz w:val="24"/>
          <w:szCs w:val="24"/>
        </w:rPr>
        <w:t xml:space="preserve">Broj nabave: </w:t>
      </w:r>
      <w:r w:rsidR="007A548B">
        <w:rPr>
          <w:b/>
          <w:sz w:val="24"/>
          <w:szCs w:val="24"/>
        </w:rPr>
        <w:t>0</w:t>
      </w:r>
      <w:r w:rsidR="00F44D4E">
        <w:rPr>
          <w:b/>
          <w:sz w:val="24"/>
          <w:szCs w:val="24"/>
        </w:rPr>
        <w:t>4</w:t>
      </w:r>
      <w:bookmarkStart w:id="0" w:name="_GoBack"/>
      <w:bookmarkEnd w:id="0"/>
      <w:r w:rsidR="007A548B">
        <w:rPr>
          <w:b/>
          <w:sz w:val="24"/>
          <w:szCs w:val="24"/>
        </w:rPr>
        <w:t xml:space="preserve">/2018 - </w:t>
      </w:r>
      <w:r w:rsidR="00685130">
        <w:rPr>
          <w:b/>
          <w:sz w:val="24"/>
          <w:szCs w:val="24"/>
        </w:rPr>
        <w:t xml:space="preserve">Nabava </w:t>
      </w:r>
      <w:r w:rsidR="007A548B">
        <w:rPr>
          <w:b/>
          <w:sz w:val="24"/>
          <w:szCs w:val="24"/>
        </w:rPr>
        <w:t>strojeva i</w:t>
      </w:r>
      <w:r w:rsidR="00685130">
        <w:rPr>
          <w:b/>
          <w:sz w:val="24"/>
          <w:szCs w:val="24"/>
        </w:rPr>
        <w:t xml:space="preserve"> opreme</w:t>
      </w:r>
      <w:r w:rsidR="003A433F">
        <w:rPr>
          <w:rFonts w:ascii="Calibri" w:eastAsia="Times New Roman" w:hAnsi="Calibri" w:cs="Times New Roman"/>
          <w:b/>
          <w:bCs/>
          <w:sz w:val="28"/>
          <w:szCs w:val="28"/>
        </w:rPr>
        <w:t xml:space="preserve">;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stavke u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Prilog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u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za onu grupu nabave za koju podnosi ponudu.</w:t>
      </w:r>
      <w:r w:rsidRPr="009D3E88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4337"/>
        <w:gridCol w:w="1628"/>
        <w:gridCol w:w="1625"/>
        <w:gridCol w:w="2442"/>
        <w:gridCol w:w="2439"/>
      </w:tblGrid>
      <w:tr w:rsidR="003A433F" w:rsidRPr="009D3E88" w:rsidTr="003A433F">
        <w:trPr>
          <w:trHeight w:val="196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3A433F" w:rsidRPr="009D3E88" w:rsidTr="003A433F">
        <w:trPr>
          <w:trHeight w:val="61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 1</w:t>
            </w:r>
            <w:r w:rsidR="00A275A1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Tračna pila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F946DE" w:rsidP="009D3E88">
            <w:pPr>
              <w:spacing w:before="120" w:after="120"/>
            </w:pPr>
            <w:r>
              <w:t>Tračna pila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2</w:t>
            </w:r>
            <w:r w:rsidR="00A275A1">
              <w:rPr>
                <w:b/>
              </w:rPr>
              <w:t xml:space="preserve"> </w:t>
            </w:r>
            <w:r w:rsidR="00EC5AF3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Plazma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7A548B" w:rsidP="009D3E88">
            <w:pPr>
              <w:spacing w:before="120" w:after="120"/>
              <w:jc w:val="center"/>
            </w:pPr>
            <w:r>
              <w:t>2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F946DE" w:rsidP="009D3E88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Plazma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1" w:name="_Hlk504657037"/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3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Aparat za zavarivanje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9D3E88" w:rsidRPr="009D3E88" w:rsidRDefault="007A548B" w:rsidP="009D3E88">
            <w:pPr>
              <w:spacing w:before="120" w:after="120"/>
              <w:jc w:val="center"/>
            </w:pPr>
            <w:r>
              <w:t>3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E88" w:rsidRPr="001E7C7B" w:rsidRDefault="00F946DE" w:rsidP="00A275A1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Aparat za zavarivanje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1"/>
      <w:tr w:rsidR="00EC5AF3" w:rsidRPr="009D3E88" w:rsidTr="003A433F">
        <w:trPr>
          <w:trHeight w:val="5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C5AF3" w:rsidRPr="009D3E88" w:rsidRDefault="00EC5AF3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4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1321">
              <w:rPr>
                <w:b/>
              </w:rPr>
              <w:t>K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ombinirane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škare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C16205">
              <w:rPr>
                <w:rFonts w:cs="Calibri"/>
                <w:b/>
                <w:color w:val="000000"/>
                <w:lang w:val="en-US" w:eastAsia="hr-HR"/>
              </w:rPr>
              <w:t>i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probijačica</w:t>
            </w:r>
            <w:proofErr w:type="spellEnd"/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4</w:t>
            </w:r>
            <w:r w:rsidR="00EC5AF3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AF3" w:rsidRPr="001E7C7B" w:rsidRDefault="00F946DE" w:rsidP="00EC5AF3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Kombinirane škare i probijačic</w:t>
            </w:r>
            <w:r w:rsidR="009342C3">
              <w:rPr>
                <w:rFonts w:cs="Calibri"/>
                <w:color w:val="000000"/>
                <w:lang w:eastAsia="hr-HR"/>
              </w:rPr>
              <w:t>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C5AF3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7A548B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2" w:name="_Hlk506363066"/>
            <w:r w:rsidRPr="009D3E88">
              <w:rPr>
                <w:b/>
              </w:rPr>
              <w:t>GRUPA</w:t>
            </w:r>
            <w:r>
              <w:rPr>
                <w:b/>
              </w:rPr>
              <w:t xml:space="preserve"> 5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1321">
              <w:rPr>
                <w:b/>
              </w:rPr>
              <w:t>Preša hidraulična</w:t>
            </w:r>
          </w:p>
        </w:tc>
      </w:tr>
      <w:bookmarkEnd w:id="2"/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48B" w:rsidRPr="001E7C7B" w:rsidRDefault="00F946DE" w:rsidP="00B07661">
            <w:pPr>
              <w:spacing w:before="120" w:after="120"/>
            </w:pPr>
            <w:r>
              <w:t>Preša hidraulična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2D1321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D1321" w:rsidRPr="009D3E88" w:rsidRDefault="002D1321" w:rsidP="002218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>
              <w:rPr>
                <w:b/>
              </w:rPr>
              <w:t xml:space="preserve"> 6</w:t>
            </w:r>
            <w:r w:rsidRPr="009D3E88">
              <w:rPr>
                <w:b/>
              </w:rPr>
              <w:t xml:space="preserve"> </w:t>
            </w:r>
            <w:r>
              <w:rPr>
                <w:b/>
              </w:rPr>
              <w:t>– Stroj za nabijanje okova</w:t>
            </w:r>
          </w:p>
        </w:tc>
      </w:tr>
      <w:tr w:rsidR="003A433F" w:rsidRPr="009D3E88" w:rsidTr="003A433F">
        <w:trPr>
          <w:trHeight w:val="116"/>
        </w:trPr>
        <w:tc>
          <w:tcPr>
            <w:tcW w:w="557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>
              <w:t>6.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321" w:rsidRPr="00AE77A4" w:rsidRDefault="002D1321" w:rsidP="002D1321">
            <w:r>
              <w:t>Stroj za nabijanje okova</w:t>
            </w:r>
          </w:p>
        </w:tc>
        <w:tc>
          <w:tcPr>
            <w:tcW w:w="580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 w:rsidRPr="00AE77A4">
              <w:t>kom</w:t>
            </w:r>
          </w:p>
        </w:tc>
        <w:tc>
          <w:tcPr>
            <w:tcW w:w="579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 w:rsidRPr="00AE77A4">
              <w:t>1</w:t>
            </w:r>
          </w:p>
        </w:tc>
        <w:tc>
          <w:tcPr>
            <w:tcW w:w="870" w:type="pct"/>
            <w:shd w:val="clear" w:color="auto" w:fill="auto"/>
          </w:tcPr>
          <w:p w:rsidR="002D1321" w:rsidRPr="00AE77A4" w:rsidRDefault="002D1321" w:rsidP="002D1321"/>
        </w:tc>
        <w:tc>
          <w:tcPr>
            <w:tcW w:w="869" w:type="pct"/>
            <w:shd w:val="clear" w:color="auto" w:fill="auto"/>
          </w:tcPr>
          <w:p w:rsidR="002D1321" w:rsidRDefault="002D1321" w:rsidP="002D1321"/>
        </w:tc>
      </w:tr>
      <w:tr w:rsidR="00374ACE" w:rsidRPr="009D3E88" w:rsidTr="003A433F">
        <w:trPr>
          <w:trHeight w:val="64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3A433F">
        <w:trPr>
          <w:trHeight w:val="61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3A433F">
        <w:trPr>
          <w:trHeight w:val="29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Pr="00EC0CA6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61D3C" w:rsidP="00461D3C">
      <w:pPr>
        <w:tabs>
          <w:tab w:val="left" w:pos="4860"/>
        </w:tabs>
        <w:jc w:val="both"/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4A275D">
        <w:rPr>
          <w:bCs/>
          <w:sz w:val="24"/>
          <w:szCs w:val="24"/>
        </w:rPr>
        <w:t>(ime, prezime i potpis osobe ovlaštene za zastupanje, te pečat ponuditelja)</w:t>
      </w:r>
    </w:p>
    <w:sectPr w:rsidR="00420C59" w:rsidSect="00BD4D8E">
      <w:headerReference w:type="default" r:id="rId7"/>
      <w:footerReference w:type="default" r:id="rId8"/>
      <w:pgSz w:w="16838" w:h="11906" w:orient="landscape"/>
      <w:pgMar w:top="142" w:right="1418" w:bottom="993" w:left="1418" w:header="13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56" w:rsidRDefault="00192D56" w:rsidP="00374ACE">
      <w:pPr>
        <w:spacing w:after="0" w:line="240" w:lineRule="auto"/>
      </w:pPr>
      <w:r>
        <w:separator/>
      </w:r>
    </w:p>
  </w:endnote>
  <w:endnote w:type="continuationSeparator" w:id="0">
    <w:p w:rsidR="00192D56" w:rsidRDefault="00192D56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EC1718" w:rsidP="00374ACE">
    <w:pPr>
      <w:pStyle w:val="Podnoje"/>
      <w:tabs>
        <w:tab w:val="clear" w:pos="4536"/>
        <w:tab w:val="clear" w:pos="9072"/>
        <w:tab w:val="left" w:pos="3318"/>
        <w:tab w:val="left" w:pos="10042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17AB1" wp14:editId="1B6CB2E4">
              <wp:simplePos x="0" y="0"/>
              <wp:positionH relativeFrom="column">
                <wp:posOffset>7154241</wp:posOffset>
              </wp:positionH>
              <wp:positionV relativeFrom="paragraph">
                <wp:posOffset>14136</wp:posOffset>
              </wp:positionV>
              <wp:extent cx="2210435" cy="492981"/>
              <wp:effectExtent l="0" t="0" r="0" b="254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718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Europska unija </w:t>
                          </w:r>
                        </w:p>
                        <w:p w:rsidR="00374ACE" w:rsidRPr="0025742C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ulaganje u budućnost</w:t>
                          </w:r>
                        </w:p>
                        <w:p w:rsidR="00374ACE" w:rsidRDefault="00374ACE" w:rsidP="00374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17AB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63.35pt;margin-top:1.1pt;width:174.0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KOJAIAACE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" stroked="f">
              <v:textbox>
                <w:txbxContent>
                  <w:p w:rsidR="00EC1718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Europska unija </w:t>
                    </w:r>
                  </w:p>
                  <w:p w:rsidR="00374ACE" w:rsidRPr="0025742C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ulaganje u budućnost</w:t>
                    </w:r>
                  </w:p>
                  <w:p w:rsidR="00374ACE" w:rsidRDefault="00374ACE" w:rsidP="00374ACE"/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F75" wp14:editId="094D220D">
              <wp:simplePos x="0" y="0"/>
              <wp:positionH relativeFrom="column">
                <wp:posOffset>2034540</wp:posOffset>
              </wp:positionH>
              <wp:positionV relativeFrom="paragraph">
                <wp:posOffset>39370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ACE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374ACE" w:rsidRPr="0025742C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Europskog </w:t>
                          </w:r>
                          <w:r w:rsidR="00456167">
                            <w:rPr>
                              <w:i/>
                              <w:sz w:val="20"/>
                              <w:szCs w:val="20"/>
                            </w:rPr>
                            <w:t xml:space="preserve">strukturnog i investicijskog fonda </w:t>
                          </w:r>
                        </w:p>
                        <w:p w:rsidR="00374ACE" w:rsidRPr="0025742C" w:rsidRDefault="00374ACE" w:rsidP="00374AC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9F75" id="_x0000_s1027" type="#_x0000_t202" style="position:absolute;margin-left:160.2pt;margin-top:3.1pt;width:302.4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" stroked="f">
              <v:textbox>
                <w:txbxContent>
                  <w:p w:rsidR="00374ACE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374ACE" w:rsidRPr="0025742C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Europskog </w:t>
                    </w:r>
                    <w:r w:rsidR="00456167">
                      <w:rPr>
                        <w:i/>
                        <w:sz w:val="20"/>
                        <w:szCs w:val="20"/>
                      </w:rPr>
                      <w:t xml:space="preserve">strukturnog i investicijskog fonda </w:t>
                    </w:r>
                  </w:p>
                  <w:p w:rsidR="00374ACE" w:rsidRPr="0025742C" w:rsidRDefault="00374ACE" w:rsidP="00374AC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w:drawing>
        <wp:inline distT="0" distB="0" distL="0" distR="0" wp14:anchorId="6F1FF854" wp14:editId="3886A3C7">
          <wp:extent cx="1470212" cy="390525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74ACE">
      <w:tab/>
    </w:r>
    <w:r w:rsidR="00374ACE">
      <w:tab/>
    </w:r>
    <w:r w:rsidR="00374ACE">
      <w:rPr>
        <w:noProof/>
        <w:lang w:eastAsia="hr-HR"/>
      </w:rPr>
      <w:drawing>
        <wp:inline distT="0" distB="0" distL="0" distR="0" wp14:anchorId="2045ED79" wp14:editId="35B40F2D">
          <wp:extent cx="725170" cy="445135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56" w:rsidRDefault="00192D56" w:rsidP="00374ACE">
      <w:pPr>
        <w:spacing w:after="0" w:line="240" w:lineRule="auto"/>
      </w:pPr>
      <w:r>
        <w:separator/>
      </w:r>
    </w:p>
  </w:footnote>
  <w:footnote w:type="continuationSeparator" w:id="0">
    <w:p w:rsidR="00192D56" w:rsidRDefault="00192D56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374ACE" w:rsidP="00374AC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E"/>
    <w:rsid w:val="00010CFD"/>
    <w:rsid w:val="00040696"/>
    <w:rsid w:val="00192D56"/>
    <w:rsid w:val="001E7C7B"/>
    <w:rsid w:val="001F5A88"/>
    <w:rsid w:val="00290485"/>
    <w:rsid w:val="002D1321"/>
    <w:rsid w:val="002F5842"/>
    <w:rsid w:val="00304B2F"/>
    <w:rsid w:val="003364FA"/>
    <w:rsid w:val="00336705"/>
    <w:rsid w:val="00373EFF"/>
    <w:rsid w:val="00374ACE"/>
    <w:rsid w:val="003A433F"/>
    <w:rsid w:val="003C6A7D"/>
    <w:rsid w:val="00420C59"/>
    <w:rsid w:val="00435909"/>
    <w:rsid w:val="004408F4"/>
    <w:rsid w:val="00456167"/>
    <w:rsid w:val="00461D3C"/>
    <w:rsid w:val="004C7CBE"/>
    <w:rsid w:val="004D70BE"/>
    <w:rsid w:val="00510474"/>
    <w:rsid w:val="0054178A"/>
    <w:rsid w:val="0054338E"/>
    <w:rsid w:val="005735AA"/>
    <w:rsid w:val="00594A9C"/>
    <w:rsid w:val="005F0C30"/>
    <w:rsid w:val="00637BFF"/>
    <w:rsid w:val="006512D9"/>
    <w:rsid w:val="00685130"/>
    <w:rsid w:val="006A01BE"/>
    <w:rsid w:val="006A5F73"/>
    <w:rsid w:val="007142A8"/>
    <w:rsid w:val="007A548B"/>
    <w:rsid w:val="008B4D49"/>
    <w:rsid w:val="008C0294"/>
    <w:rsid w:val="009342C3"/>
    <w:rsid w:val="00961A6B"/>
    <w:rsid w:val="009D3E88"/>
    <w:rsid w:val="009D4C27"/>
    <w:rsid w:val="00A06845"/>
    <w:rsid w:val="00A141F2"/>
    <w:rsid w:val="00A14D98"/>
    <w:rsid w:val="00A21197"/>
    <w:rsid w:val="00A275A1"/>
    <w:rsid w:val="00A52005"/>
    <w:rsid w:val="00B34649"/>
    <w:rsid w:val="00B35B48"/>
    <w:rsid w:val="00B40AB0"/>
    <w:rsid w:val="00B61B5B"/>
    <w:rsid w:val="00BB382A"/>
    <w:rsid w:val="00BD4D8E"/>
    <w:rsid w:val="00C0111B"/>
    <w:rsid w:val="00C02E37"/>
    <w:rsid w:val="00C16205"/>
    <w:rsid w:val="00C202DD"/>
    <w:rsid w:val="00CC4D1A"/>
    <w:rsid w:val="00D9176E"/>
    <w:rsid w:val="00D945BE"/>
    <w:rsid w:val="00DB1085"/>
    <w:rsid w:val="00E16B16"/>
    <w:rsid w:val="00E318AF"/>
    <w:rsid w:val="00E63B9F"/>
    <w:rsid w:val="00E67C1A"/>
    <w:rsid w:val="00E8629A"/>
    <w:rsid w:val="00EC0B87"/>
    <w:rsid w:val="00EC1718"/>
    <w:rsid w:val="00EC5AF3"/>
    <w:rsid w:val="00EC635D"/>
    <w:rsid w:val="00EE5121"/>
    <w:rsid w:val="00F44D4E"/>
    <w:rsid w:val="00F60702"/>
    <w:rsid w:val="00F60E61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FC1C9"/>
  <w15:docId w15:val="{1A1FF621-8111-4E7D-90FC-D003C6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 Zobundžija</cp:lastModifiedBy>
  <cp:revision>2</cp:revision>
  <cp:lastPrinted>2018-01-26T09:02:00Z</cp:lastPrinted>
  <dcterms:created xsi:type="dcterms:W3CDTF">2018-05-22T11:53:00Z</dcterms:created>
  <dcterms:modified xsi:type="dcterms:W3CDTF">2018-05-22T11:53:00Z</dcterms:modified>
</cp:coreProperties>
</file>